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4B4F" w14:textId="3EF2CD53" w:rsidR="007F6D5D" w:rsidRPr="0091346A" w:rsidRDefault="007F6D5D" w:rsidP="007F6D5D">
      <w:pPr>
        <w:rPr>
          <w:rFonts w:eastAsia="Times New Roman" w:cs="Arial"/>
          <w:b/>
          <w:noProof/>
          <w:sz w:val="24"/>
          <w:szCs w:val="24"/>
          <w:lang w:val="en-GB" w:eastAsia="zh-CN"/>
        </w:rPr>
      </w:pPr>
      <w:r w:rsidRPr="007F6D5D">
        <w:rPr>
          <w:rFonts w:eastAsia="Times New Roman" w:cs="Arial"/>
          <w:b/>
          <w:noProof/>
          <w:sz w:val="24"/>
          <w:szCs w:val="24"/>
          <w:lang w:val="en-GB" w:eastAsia="zh-CN"/>
        </w:rPr>
        <w:t>3GPP TSG-RAN WG4 Meeting #116bis</w:t>
      </w:r>
      <w:r w:rsidRPr="007F6D5D">
        <w:rPr>
          <w:rFonts w:eastAsia="Times New Roman" w:cs="Arial"/>
          <w:b/>
          <w:noProof/>
          <w:sz w:val="24"/>
          <w:szCs w:val="24"/>
          <w:lang w:val="en-GB" w:eastAsia="zh-CN"/>
        </w:rPr>
        <w:tab/>
      </w:r>
      <w:r w:rsidRPr="007F6D5D">
        <w:rPr>
          <w:rFonts w:eastAsia="Times New Roman" w:cs="Arial"/>
          <w:b/>
          <w:noProof/>
          <w:sz w:val="24"/>
          <w:szCs w:val="24"/>
          <w:lang w:val="en-GB" w:eastAsia="zh-CN"/>
        </w:rPr>
        <w:tab/>
      </w:r>
      <w:r>
        <w:rPr>
          <w:rFonts w:eastAsia="Times New Roman" w:cs="Arial"/>
          <w:b/>
          <w:noProof/>
          <w:sz w:val="24"/>
          <w:szCs w:val="24"/>
          <w:lang w:val="en-GB" w:eastAsia="zh-CN"/>
        </w:rPr>
        <w:tab/>
      </w:r>
      <w:r>
        <w:rPr>
          <w:rFonts w:eastAsia="Times New Roman" w:cs="Arial"/>
          <w:b/>
          <w:noProof/>
          <w:sz w:val="24"/>
          <w:szCs w:val="24"/>
          <w:lang w:val="en-GB" w:eastAsia="zh-CN"/>
        </w:rPr>
        <w:tab/>
      </w:r>
      <w:r>
        <w:rPr>
          <w:rFonts w:eastAsia="Times New Roman" w:cs="Arial"/>
          <w:b/>
          <w:noProof/>
          <w:sz w:val="24"/>
          <w:szCs w:val="24"/>
          <w:lang w:val="en-GB" w:eastAsia="zh-CN"/>
        </w:rPr>
        <w:tab/>
      </w:r>
      <w:r>
        <w:rPr>
          <w:rFonts w:eastAsia="Times New Roman" w:cs="Arial"/>
          <w:b/>
          <w:noProof/>
          <w:sz w:val="24"/>
          <w:szCs w:val="24"/>
          <w:lang w:val="en-GB" w:eastAsia="zh-CN"/>
        </w:rPr>
        <w:tab/>
      </w:r>
      <w:r>
        <w:rPr>
          <w:rFonts w:eastAsia="Times New Roman" w:cs="Arial"/>
          <w:b/>
          <w:noProof/>
          <w:sz w:val="24"/>
          <w:szCs w:val="24"/>
          <w:lang w:val="en-GB" w:eastAsia="zh-CN"/>
        </w:rPr>
        <w:tab/>
      </w:r>
      <w:r w:rsidRPr="0053491E">
        <w:rPr>
          <w:rFonts w:eastAsia="Times New Roman" w:cs="Arial"/>
          <w:b/>
          <w:noProof/>
          <w:sz w:val="24"/>
          <w:szCs w:val="24"/>
          <w:lang w:val="en-GB" w:eastAsia="zh-CN"/>
        </w:rPr>
        <w:t>R4-25</w:t>
      </w:r>
      <w:r w:rsidR="00E432AA" w:rsidRPr="0053491E">
        <w:rPr>
          <w:rFonts w:eastAsia="Times New Roman" w:cs="Arial"/>
          <w:b/>
          <w:noProof/>
          <w:sz w:val="24"/>
          <w:szCs w:val="24"/>
          <w:lang w:val="en-GB" w:eastAsia="zh-CN"/>
        </w:rPr>
        <w:t>13864</w:t>
      </w:r>
    </w:p>
    <w:p w14:paraId="517DEDE4" w14:textId="77777777" w:rsidR="007F6D5D" w:rsidRPr="007F6D5D" w:rsidRDefault="007F6D5D" w:rsidP="007F6D5D">
      <w:pPr>
        <w:rPr>
          <w:rFonts w:eastAsia="Times New Roman" w:cs="Arial"/>
          <w:b/>
          <w:noProof/>
          <w:sz w:val="24"/>
          <w:szCs w:val="24"/>
          <w:lang w:val="en-GB" w:eastAsia="zh-CN"/>
        </w:rPr>
      </w:pPr>
      <w:r w:rsidRPr="0091346A">
        <w:rPr>
          <w:rFonts w:eastAsia="Times New Roman" w:cs="Arial"/>
          <w:b/>
          <w:noProof/>
          <w:sz w:val="24"/>
          <w:szCs w:val="24"/>
          <w:lang w:val="en-GB" w:eastAsia="zh-CN"/>
        </w:rPr>
        <w:t>Prague, Czech Republic, 13</w:t>
      </w:r>
      <w:r w:rsidRPr="0091346A">
        <w:rPr>
          <w:rFonts w:eastAsia="Times New Roman" w:cs="Arial"/>
          <w:b/>
          <w:noProof/>
          <w:sz w:val="24"/>
          <w:szCs w:val="24"/>
          <w:vertAlign w:val="superscript"/>
          <w:lang w:val="en-GB" w:eastAsia="zh-CN"/>
        </w:rPr>
        <w:t>th</w:t>
      </w:r>
      <w:r w:rsidRPr="0091346A">
        <w:rPr>
          <w:rFonts w:eastAsia="Times New Roman" w:cs="Arial"/>
          <w:b/>
          <w:noProof/>
          <w:sz w:val="24"/>
          <w:szCs w:val="24"/>
          <w:lang w:val="en-GB" w:eastAsia="zh-CN"/>
        </w:rPr>
        <w:t xml:space="preserve"> to 18</w:t>
      </w:r>
      <w:r w:rsidRPr="0091346A">
        <w:rPr>
          <w:rFonts w:eastAsia="Times New Roman" w:cs="Arial"/>
          <w:b/>
          <w:noProof/>
          <w:sz w:val="24"/>
          <w:szCs w:val="24"/>
          <w:vertAlign w:val="superscript"/>
          <w:lang w:val="en-GB" w:eastAsia="zh-CN"/>
        </w:rPr>
        <w:t>th</w:t>
      </w:r>
      <w:r w:rsidRPr="0091346A">
        <w:rPr>
          <w:rFonts w:eastAsia="Times New Roman" w:cs="Arial"/>
          <w:b/>
          <w:noProof/>
          <w:sz w:val="24"/>
          <w:szCs w:val="24"/>
          <w:lang w:val="en-GB" w:eastAsia="zh-CN"/>
        </w:rPr>
        <w:t xml:space="preserve"> October 2025</w:t>
      </w:r>
      <w:r w:rsidRPr="007F6D5D">
        <w:rPr>
          <w:rFonts w:eastAsia="Times New Roman" w:cs="Arial"/>
          <w:b/>
          <w:noProof/>
          <w:sz w:val="24"/>
          <w:szCs w:val="24"/>
          <w:vertAlign w:val="superscript"/>
          <w:lang w:val="en-GB" w:eastAsia="zh-CN"/>
        </w:rPr>
        <w:t xml:space="preserve"> </w:t>
      </w:r>
    </w:p>
    <w:p w14:paraId="671C15A6" w14:textId="77777777" w:rsidR="007F6D5D" w:rsidRPr="007F6D5D" w:rsidRDefault="007F6D5D" w:rsidP="007F6D5D">
      <w:pPr>
        <w:rPr>
          <w:rFonts w:eastAsia="Times New Roman" w:cs="Arial"/>
          <w:b/>
          <w:noProof/>
          <w:sz w:val="24"/>
          <w:szCs w:val="24"/>
          <w:lang w:val="en-GB" w:eastAsia="zh-CN"/>
        </w:rPr>
      </w:pPr>
    </w:p>
    <w:p w14:paraId="3B7768A2" w14:textId="12D48E1D" w:rsidR="007F6D5D" w:rsidRPr="00857A16" w:rsidRDefault="007F6D5D" w:rsidP="007F6D5D">
      <w:pPr>
        <w:rPr>
          <w:rFonts w:eastAsia="Times New Roman" w:cs="Arial"/>
          <w:b/>
          <w:noProof/>
          <w:sz w:val="24"/>
          <w:szCs w:val="24"/>
          <w:lang w:eastAsia="zh-CN"/>
        </w:rPr>
      </w:pPr>
      <w:r w:rsidRPr="00857A16">
        <w:rPr>
          <w:rFonts w:eastAsia="Times New Roman" w:cs="Arial"/>
          <w:b/>
          <w:noProof/>
          <w:sz w:val="24"/>
          <w:szCs w:val="24"/>
          <w:lang w:eastAsia="zh-CN"/>
        </w:rPr>
        <w:t>Agenda Item:</w:t>
      </w:r>
      <w:r w:rsidRPr="00857A16">
        <w:rPr>
          <w:rFonts w:eastAsia="Times New Roman" w:cs="Arial"/>
          <w:b/>
          <w:noProof/>
          <w:sz w:val="24"/>
          <w:szCs w:val="24"/>
          <w:lang w:eastAsia="zh-CN"/>
        </w:rPr>
        <w:tab/>
      </w:r>
      <w:r w:rsidR="00ED51B0" w:rsidRPr="00857A16">
        <w:rPr>
          <w:rFonts w:eastAsia="Times New Roman" w:cs="Arial"/>
          <w:b/>
          <w:noProof/>
          <w:sz w:val="24"/>
          <w:szCs w:val="24"/>
          <w:lang w:eastAsia="zh-CN"/>
        </w:rPr>
        <w:t>7.7.2</w:t>
      </w:r>
    </w:p>
    <w:p w14:paraId="6EF5D4D5" w14:textId="77777777" w:rsidR="007F6D5D" w:rsidRPr="007F6D5D" w:rsidRDefault="007F6D5D" w:rsidP="007F6D5D">
      <w:pPr>
        <w:rPr>
          <w:rFonts w:eastAsia="Times New Roman" w:cs="Arial"/>
          <w:b/>
          <w:noProof/>
          <w:sz w:val="24"/>
          <w:szCs w:val="24"/>
          <w:lang w:eastAsia="zh-CN"/>
        </w:rPr>
      </w:pPr>
      <w:r w:rsidRPr="007F6D5D">
        <w:rPr>
          <w:rFonts w:eastAsia="Times New Roman" w:cs="Arial"/>
          <w:b/>
          <w:noProof/>
          <w:sz w:val="24"/>
          <w:szCs w:val="24"/>
          <w:lang w:eastAsia="zh-CN"/>
        </w:rPr>
        <w:t>Source:</w:t>
      </w:r>
      <w:r w:rsidRPr="007F6D5D">
        <w:rPr>
          <w:rFonts w:eastAsia="Times New Roman" w:cs="Arial"/>
          <w:b/>
          <w:noProof/>
          <w:sz w:val="24"/>
          <w:szCs w:val="24"/>
          <w:lang w:eastAsia="zh-CN"/>
        </w:rPr>
        <w:tab/>
        <w:t>Ericsson</w:t>
      </w:r>
    </w:p>
    <w:p w14:paraId="67F2E23E" w14:textId="39C03CF5" w:rsidR="007F6D5D" w:rsidRPr="007F6D5D" w:rsidRDefault="007F6D5D" w:rsidP="007F6D5D">
      <w:pPr>
        <w:rPr>
          <w:rFonts w:eastAsia="Times New Roman" w:cs="Arial"/>
          <w:b/>
          <w:noProof/>
          <w:sz w:val="24"/>
          <w:szCs w:val="24"/>
          <w:lang w:eastAsia="zh-CN"/>
        </w:rPr>
      </w:pPr>
      <w:r w:rsidRPr="007F6D5D">
        <w:rPr>
          <w:rFonts w:eastAsia="Times New Roman" w:cs="Arial"/>
          <w:b/>
          <w:noProof/>
          <w:sz w:val="24"/>
          <w:szCs w:val="24"/>
          <w:lang w:eastAsia="zh-CN"/>
        </w:rPr>
        <w:t>Title:</w:t>
      </w:r>
      <w:r w:rsidRPr="007F6D5D">
        <w:rPr>
          <w:rFonts w:eastAsia="Times New Roman" w:cs="Arial"/>
          <w:b/>
          <w:noProof/>
          <w:sz w:val="24"/>
          <w:szCs w:val="24"/>
          <w:lang w:eastAsia="zh-CN"/>
        </w:rPr>
        <w:tab/>
      </w:r>
      <w:r w:rsidR="00FA7482" w:rsidRPr="00FA7482">
        <w:rPr>
          <w:rFonts w:eastAsia="Times New Roman" w:cs="Arial"/>
          <w:b/>
          <w:noProof/>
          <w:sz w:val="24"/>
          <w:szCs w:val="24"/>
          <w:lang w:eastAsia="zh-CN"/>
        </w:rPr>
        <w:t>On General aspects and DL co-existence considerations for UAV</w:t>
      </w:r>
    </w:p>
    <w:p w14:paraId="6BDE4FE5" w14:textId="7F5CB9AF" w:rsidR="007F6D5D" w:rsidRPr="007F6D5D" w:rsidRDefault="007F6D5D" w:rsidP="007F6D5D">
      <w:pPr>
        <w:rPr>
          <w:rFonts w:eastAsia="Times New Roman" w:cs="Arial"/>
          <w:b/>
          <w:noProof/>
          <w:sz w:val="24"/>
          <w:szCs w:val="24"/>
          <w:lang w:eastAsia="zh-CN"/>
        </w:rPr>
      </w:pPr>
      <w:r w:rsidRPr="007F6D5D">
        <w:rPr>
          <w:rFonts w:eastAsia="Times New Roman" w:cs="Arial"/>
          <w:b/>
          <w:noProof/>
          <w:sz w:val="24"/>
          <w:szCs w:val="24"/>
          <w:lang w:eastAsia="zh-CN"/>
        </w:rPr>
        <w:t>Document for:</w:t>
      </w:r>
      <w:r w:rsidRPr="007F6D5D">
        <w:rPr>
          <w:rFonts w:eastAsia="Times New Roman" w:cs="Arial"/>
          <w:b/>
          <w:noProof/>
          <w:sz w:val="24"/>
          <w:szCs w:val="24"/>
          <w:lang w:eastAsia="zh-CN"/>
        </w:rPr>
        <w:tab/>
      </w:r>
      <w:r w:rsidR="00E432AA">
        <w:rPr>
          <w:rFonts w:eastAsia="Times New Roman" w:cs="Arial"/>
          <w:b/>
          <w:noProof/>
          <w:sz w:val="24"/>
          <w:szCs w:val="24"/>
          <w:lang w:eastAsia="zh-CN"/>
        </w:rPr>
        <w:t>Discussion</w:t>
      </w:r>
    </w:p>
    <w:p w14:paraId="2D5672ED" w14:textId="77777777" w:rsidR="00E90E49" w:rsidRPr="00CE0424" w:rsidRDefault="00E90E49" w:rsidP="00E90E49"/>
    <w:p w14:paraId="6883CB62" w14:textId="77777777" w:rsidR="00A35236" w:rsidRPr="0091346A" w:rsidRDefault="00A35236" w:rsidP="00A35236">
      <w:pPr>
        <w:pStyle w:val="Heading1"/>
      </w:pPr>
      <w:r>
        <w:t>1</w:t>
      </w:r>
      <w:r>
        <w:tab/>
      </w:r>
      <w:r w:rsidRPr="0091346A">
        <w:t>Introduction</w:t>
      </w:r>
    </w:p>
    <w:p w14:paraId="46CA5733" w14:textId="4753ADD4" w:rsidR="00A35236" w:rsidRPr="00E62AA0" w:rsidRDefault="00A35236" w:rsidP="00A35236">
      <w:pPr>
        <w:pStyle w:val="BodyText"/>
        <w:rPr>
          <w:rFonts w:cs="Arial"/>
          <w:sz w:val="22"/>
          <w:lang w:val="en-IN"/>
        </w:rPr>
      </w:pPr>
      <w:r w:rsidRPr="0091346A">
        <w:rPr>
          <w:rFonts w:cs="Arial"/>
          <w:sz w:val="22"/>
        </w:rPr>
        <w:t xml:space="preserve">During RAN#109, a </w:t>
      </w:r>
      <w:r w:rsidRPr="0053491E">
        <w:rPr>
          <w:rFonts w:cs="Arial"/>
          <w:sz w:val="22"/>
        </w:rPr>
        <w:t xml:space="preserve">RAN4 WI </w:t>
      </w:r>
      <w:r w:rsidRPr="0053491E">
        <w:rPr>
          <w:rFonts w:cs="Arial"/>
          <w:sz w:val="22"/>
          <w:lang w:val="en-IN"/>
        </w:rPr>
        <w:t>[</w:t>
      </w:r>
      <w:r w:rsidR="00E20D71" w:rsidRPr="0053491E">
        <w:rPr>
          <w:rFonts w:cs="Arial"/>
          <w:sz w:val="22"/>
          <w:lang w:val="en-IN"/>
        </w:rPr>
        <w:t>1</w:t>
      </w:r>
      <w:r w:rsidRPr="0053491E">
        <w:rPr>
          <w:rFonts w:cs="Arial"/>
          <w:sz w:val="22"/>
          <w:lang w:val="en-IN"/>
        </w:rPr>
        <w:t>]</w:t>
      </w:r>
      <w:r w:rsidRPr="0091346A">
        <w:rPr>
          <w:rFonts w:cs="Arial"/>
          <w:sz w:val="22"/>
          <w:lang w:val="en-IN"/>
        </w:rPr>
        <w:t xml:space="preserve"> was agreed on Enhanced NR requirements for UAV operations to address issues related to UL throughput and UL coverage with higher transmit power. The UAVs will be served</w:t>
      </w:r>
      <w:r w:rsidR="7E6810EF" w:rsidRPr="0091346A">
        <w:rPr>
          <w:rFonts w:cs="Arial"/>
          <w:sz w:val="22"/>
          <w:lang w:val="en-IN"/>
        </w:rPr>
        <w:t xml:space="preserve"> by</w:t>
      </w:r>
      <w:r w:rsidRPr="0091346A">
        <w:rPr>
          <w:rFonts w:cs="Arial"/>
          <w:sz w:val="22"/>
          <w:lang w:val="en-IN"/>
        </w:rPr>
        <w:t xml:space="preserve"> ground based UAV BSs by adjusting the tilt angle upwards. It has been highlighted in the WID to take reference from </w:t>
      </w:r>
      <w:r w:rsidRPr="0053491E">
        <w:rPr>
          <w:rFonts w:cs="Arial"/>
          <w:sz w:val="22"/>
          <w:lang w:val="en-IN"/>
        </w:rPr>
        <w:t xml:space="preserve">NR ATG </w:t>
      </w:r>
      <w:r w:rsidR="00BD01EF">
        <w:rPr>
          <w:rFonts w:cs="Arial"/>
          <w:sz w:val="22"/>
          <w:lang w:val="en-IN"/>
        </w:rPr>
        <w:t>study</w:t>
      </w:r>
      <w:r w:rsidRPr="0053491E">
        <w:rPr>
          <w:rFonts w:cs="Arial"/>
          <w:sz w:val="22"/>
          <w:lang w:val="en-IN"/>
        </w:rPr>
        <w:t xml:space="preserve"> [</w:t>
      </w:r>
      <w:r w:rsidR="00E20D71" w:rsidRPr="0053491E">
        <w:rPr>
          <w:rFonts w:cs="Arial"/>
          <w:sz w:val="22"/>
          <w:lang w:val="en-IN"/>
        </w:rPr>
        <w:t>2</w:t>
      </w:r>
      <w:r w:rsidRPr="0053491E">
        <w:rPr>
          <w:rFonts w:cs="Arial"/>
          <w:sz w:val="22"/>
          <w:lang w:val="en-IN"/>
        </w:rPr>
        <w:t>],</w:t>
      </w:r>
      <w:r w:rsidRPr="0091346A">
        <w:rPr>
          <w:rFonts w:cs="Arial"/>
          <w:sz w:val="22"/>
          <w:lang w:val="en-IN"/>
        </w:rPr>
        <w:t xml:space="preserve"> which supported two ATG UE antenna types – omni-directional antenna and antenna array. The objectives for core part from the </w:t>
      </w:r>
      <w:r w:rsidRPr="0053491E">
        <w:rPr>
          <w:rFonts w:cs="Arial"/>
          <w:sz w:val="22"/>
          <w:lang w:val="en-IN"/>
        </w:rPr>
        <w:t>WID [</w:t>
      </w:r>
      <w:r w:rsidR="00E20D71" w:rsidRPr="0053491E">
        <w:rPr>
          <w:rFonts w:cs="Arial"/>
          <w:sz w:val="22"/>
          <w:lang w:val="en-IN"/>
        </w:rPr>
        <w:t>1</w:t>
      </w:r>
      <w:r w:rsidRPr="0053491E">
        <w:rPr>
          <w:rFonts w:cs="Arial"/>
          <w:sz w:val="22"/>
          <w:lang w:val="en-IN"/>
        </w:rPr>
        <w:t>],</w:t>
      </w:r>
      <w:r w:rsidRPr="0091346A">
        <w:rPr>
          <w:rFonts w:cs="Arial"/>
          <w:sz w:val="22"/>
          <w:lang w:val="en-IN"/>
        </w:rPr>
        <w:t xml:space="preserve"> has been</w:t>
      </w:r>
      <w:r w:rsidRPr="00E62AA0">
        <w:rPr>
          <w:rFonts w:cs="Arial"/>
          <w:sz w:val="22"/>
          <w:lang w:val="en-IN"/>
        </w:rPr>
        <w:t xml:space="preserve"> highlighted below – </w:t>
      </w:r>
    </w:p>
    <w:p w14:paraId="5B801ADD"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 xml:space="preserve">Scenario: </w:t>
      </w:r>
    </w:p>
    <w:p w14:paraId="5C937A3B"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BSs for UAV service are deployed on the ground by adjusting the tilt angle upwards. The coverage height is up to 600~1000m. The ISD for BSs for UAV service is about 2~4km.</w:t>
      </w:r>
    </w:p>
    <w:p w14:paraId="20C5237E"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A direct radio link between BS on the ground and UAV UE.</w:t>
      </w:r>
    </w:p>
    <w:p w14:paraId="45EF6E7E"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RF requirements for UAV UE to support higher UL output power.</w:t>
      </w:r>
    </w:p>
    <w:p w14:paraId="0D6EA9D3"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 xml:space="preserve">Example bands: </w:t>
      </w:r>
    </w:p>
    <w:p w14:paraId="6975B328" w14:textId="77777777" w:rsidR="00A35236" w:rsidRPr="00E62AA0" w:rsidRDefault="00A35236" w:rsidP="00A35236">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 xml:space="preserve">TDD with same TDD pattern, including n41, n77, n78, n79, </w:t>
      </w:r>
    </w:p>
    <w:p w14:paraId="6366E583" w14:textId="77777777" w:rsidR="00A35236" w:rsidRPr="00E62AA0" w:rsidRDefault="00A35236" w:rsidP="00A35236">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FDD: n3</w:t>
      </w:r>
    </w:p>
    <w:p w14:paraId="7D7FC693"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omni-direction antenna or with antenna array</w:t>
      </w:r>
    </w:p>
    <w:p w14:paraId="29F1FC80"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up to 33dBm max total conductive output power</w:t>
      </w:r>
    </w:p>
    <w:p w14:paraId="43708128"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Analyse co-existence for UAV and considering the details relevant to UAV including antenna array model, and specify requirements if needed.</w:t>
      </w:r>
    </w:p>
    <w:p w14:paraId="4E17C062"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Specify UE RF requirements, e.g., maximum output power, configured transmission power, SEM.</w:t>
      </w:r>
    </w:p>
    <w:p w14:paraId="003C5C2D"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RRM requirements, if needed</w:t>
      </w:r>
    </w:p>
    <w:p w14:paraId="26A8E565" w14:textId="77777777" w:rsidR="00A35236" w:rsidRPr="00E62AA0" w:rsidRDefault="00A35236" w:rsidP="00A35236">
      <w:pPr>
        <w:widowControl w:val="0"/>
        <w:ind w:firstLine="440"/>
        <w:rPr>
          <w:rFonts w:cs="Arial"/>
          <w:i/>
          <w:sz w:val="22"/>
        </w:rPr>
      </w:pPr>
      <w:r w:rsidRPr="00E62AA0">
        <w:rPr>
          <w:rFonts w:cs="Arial"/>
          <w:i/>
          <w:sz w:val="22"/>
        </w:rPr>
        <w:t>Note 1: No RAN1 impact are expected</w:t>
      </w:r>
    </w:p>
    <w:p w14:paraId="38750C44" w14:textId="77777777" w:rsidR="00A35236" w:rsidRPr="00E62AA0" w:rsidRDefault="00A35236" w:rsidP="00A35236">
      <w:pPr>
        <w:pStyle w:val="BodyText"/>
        <w:rPr>
          <w:rFonts w:cs="Arial"/>
          <w:sz w:val="22"/>
        </w:rPr>
      </w:pPr>
    </w:p>
    <w:p w14:paraId="7D6453E2" w14:textId="77777777" w:rsidR="00A35236" w:rsidRPr="006B72C5" w:rsidRDefault="00A35236" w:rsidP="00A35236">
      <w:pPr>
        <w:pStyle w:val="BodyText"/>
        <w:rPr>
          <w:rFonts w:cs="Arial"/>
          <w:sz w:val="22"/>
          <w:lang w:val="en-IN"/>
        </w:rPr>
      </w:pPr>
      <w:r w:rsidRPr="00E62AA0">
        <w:rPr>
          <w:rFonts w:cs="Arial"/>
          <w:sz w:val="22"/>
          <w:lang w:val="en-IN"/>
        </w:rPr>
        <w:t xml:space="preserve">This contribution highlights </w:t>
      </w:r>
      <w:r>
        <w:rPr>
          <w:rFonts w:cs="Arial"/>
          <w:sz w:val="22"/>
          <w:lang w:val="en-IN"/>
        </w:rPr>
        <w:t xml:space="preserve">how UAV differs from ATG and </w:t>
      </w:r>
      <w:r>
        <w:rPr>
          <w:rFonts w:cs="Arial"/>
          <w:sz w:val="22"/>
        </w:rPr>
        <w:t xml:space="preserve">the need to also consider downlink co-existence scenarios. </w:t>
      </w:r>
    </w:p>
    <w:p w14:paraId="7F315FF1" w14:textId="7380938F" w:rsidR="00A35236" w:rsidRDefault="00A35236" w:rsidP="00A35236">
      <w:pPr>
        <w:pStyle w:val="Heading1"/>
      </w:pPr>
      <w:bookmarkStart w:id="0" w:name="_Ref178064866"/>
      <w:r>
        <w:t>2</w:t>
      </w:r>
      <w:r>
        <w:tab/>
      </w:r>
      <w:r w:rsidRPr="00CE0424">
        <w:t>Discussion</w:t>
      </w:r>
      <w:bookmarkEnd w:id="0"/>
    </w:p>
    <w:p w14:paraId="72A31A8A" w14:textId="12F55CB3" w:rsidR="00A35236" w:rsidRPr="00E20D71" w:rsidRDefault="00A35236" w:rsidP="0053491E">
      <w:pPr>
        <w:pStyle w:val="Heading2"/>
      </w:pPr>
      <w:r>
        <w:t>2.1</w:t>
      </w:r>
      <w:r>
        <w:tab/>
        <w:t>UAV vs ATG</w:t>
      </w:r>
    </w:p>
    <w:p w14:paraId="763E05A8" w14:textId="11AADA86" w:rsidR="00A35236" w:rsidRPr="0060177A" w:rsidRDefault="00A35236" w:rsidP="00A35236">
      <w:pPr>
        <w:pStyle w:val="CommentText"/>
        <w:rPr>
          <w:sz w:val="22"/>
          <w:lang w:val="en-GB" w:eastAsia="ja-JP"/>
        </w:rPr>
      </w:pPr>
      <w:r w:rsidRPr="0060177A">
        <w:rPr>
          <w:sz w:val="22"/>
          <w:lang w:val="en-GB" w:eastAsia="ja-JP"/>
        </w:rPr>
        <w:t xml:space="preserve">The UAV and ATG systems </w:t>
      </w:r>
      <w:r w:rsidR="00577A7B" w:rsidRPr="0060177A">
        <w:rPr>
          <w:sz w:val="22"/>
          <w:lang w:val="en-GB" w:eastAsia="ja-JP"/>
        </w:rPr>
        <w:t>fundamentally differ</w:t>
      </w:r>
      <w:r w:rsidRPr="0060177A">
        <w:rPr>
          <w:sz w:val="22"/>
          <w:lang w:val="en-GB" w:eastAsia="ja-JP"/>
        </w:rPr>
        <w:t xml:space="preserve"> in deployment assumptions, coverage geometry and antenna assumptions. </w:t>
      </w:r>
    </w:p>
    <w:p w14:paraId="446C0307" w14:textId="65491FC9" w:rsidR="00A35236" w:rsidRPr="00F22FB6" w:rsidRDefault="00A35236" w:rsidP="00A35236">
      <w:pPr>
        <w:pStyle w:val="CommentText"/>
        <w:rPr>
          <w:sz w:val="22"/>
          <w:lang w:val="en-GB" w:eastAsia="ja-JP"/>
        </w:rPr>
      </w:pPr>
      <w:r w:rsidRPr="0060177A">
        <w:rPr>
          <w:sz w:val="22"/>
          <w:lang w:val="en-GB" w:eastAsia="ja-JP"/>
        </w:rPr>
        <w:lastRenderedPageBreak/>
        <w:t>The UAV networks will target low-altitude UEs (</w:t>
      </w:r>
      <w:r w:rsidR="5D1D7FDF" w:rsidRPr="0060177A">
        <w:rPr>
          <w:sz w:val="22"/>
          <w:lang w:val="en-GB" w:eastAsia="ja-JP"/>
        </w:rPr>
        <w:t>up</w:t>
      </w:r>
      <w:r w:rsidR="2770C682" w:rsidRPr="0060177A">
        <w:rPr>
          <w:sz w:val="22"/>
          <w:lang w:val="en-GB" w:eastAsia="ja-JP"/>
        </w:rPr>
        <w:t xml:space="preserve"> </w:t>
      </w:r>
      <w:r w:rsidR="5D1D7FDF" w:rsidRPr="0060177A">
        <w:rPr>
          <w:sz w:val="22"/>
          <w:lang w:val="en-GB" w:eastAsia="ja-JP"/>
        </w:rPr>
        <w:t>to</w:t>
      </w:r>
      <w:r w:rsidRPr="0060177A">
        <w:rPr>
          <w:sz w:val="22"/>
          <w:lang w:val="en-GB" w:eastAsia="ja-JP"/>
        </w:rPr>
        <w:t xml:space="preserve"> </w:t>
      </w:r>
      <w:r w:rsidR="00DA6030" w:rsidRPr="0060177A">
        <w:rPr>
          <w:sz w:val="22"/>
          <w:lang w:val="en-GB" w:eastAsia="ja-JP"/>
        </w:rPr>
        <w:t xml:space="preserve">0.6 km </w:t>
      </w:r>
      <w:r w:rsidRPr="0060177A">
        <w:rPr>
          <w:sz w:val="22"/>
          <w:lang w:val="en-GB" w:eastAsia="ja-JP"/>
        </w:rPr>
        <w:t xml:space="preserve">~1 km), with ISDs ~2-4 km and cell ranges which are constrained by vertical beam patterns, leading to interference limited operation as the UAVs maintain strong LoS to multiple TN/ UAV BSs simultaneously.  In contrast, the ATG systems are dimensioned at altitudes of 3-10 km with ISDs </w:t>
      </w:r>
      <w:r w:rsidR="5D1D7FDF" w:rsidRPr="0060177A">
        <w:rPr>
          <w:sz w:val="22"/>
          <w:lang w:val="en-GB" w:eastAsia="ja-JP"/>
        </w:rPr>
        <w:t>up</w:t>
      </w:r>
      <w:r w:rsidR="7725FE99" w:rsidRPr="0060177A">
        <w:rPr>
          <w:sz w:val="22"/>
          <w:lang w:val="en-GB" w:eastAsia="ja-JP"/>
        </w:rPr>
        <w:t xml:space="preserve"> </w:t>
      </w:r>
      <w:r w:rsidR="5D1D7FDF" w:rsidRPr="0060177A">
        <w:rPr>
          <w:sz w:val="22"/>
          <w:lang w:val="en-GB" w:eastAsia="ja-JP"/>
        </w:rPr>
        <w:t>to</w:t>
      </w:r>
      <w:r w:rsidRPr="0060177A">
        <w:rPr>
          <w:sz w:val="22"/>
          <w:lang w:val="en-GB" w:eastAsia="ja-JP"/>
        </w:rPr>
        <w:t xml:space="preserve"> 100 km. It is therefore path-loss limited rather than interference limited, and the key challenge is to </w:t>
      </w:r>
      <w:r w:rsidRPr="00F22FB6">
        <w:rPr>
          <w:sz w:val="22"/>
          <w:lang w:val="en-GB" w:eastAsia="ja-JP"/>
        </w:rPr>
        <w:t xml:space="preserve">close the link budget over long ranges </w:t>
      </w:r>
      <w:r w:rsidR="007950FF" w:rsidRPr="00F22FB6">
        <w:rPr>
          <w:sz w:val="22"/>
          <w:lang w:val="en-GB" w:eastAsia="ja-JP"/>
        </w:rPr>
        <w:t>since</w:t>
      </w:r>
      <w:r w:rsidR="00ED714B" w:rsidRPr="00F22FB6">
        <w:rPr>
          <w:sz w:val="22"/>
          <w:lang w:val="en-GB" w:eastAsia="ja-JP"/>
        </w:rPr>
        <w:t xml:space="preserve"> the ATG UE is typically mounted externally to avoid fuselage penetration losses.</w:t>
      </w:r>
      <w:r w:rsidRPr="00F22FB6">
        <w:rPr>
          <w:sz w:val="22"/>
          <w:lang w:val="en-GB" w:eastAsia="ja-JP"/>
        </w:rPr>
        <w:t xml:space="preserve"> </w:t>
      </w:r>
    </w:p>
    <w:p w14:paraId="579AECE1" w14:textId="77777777" w:rsidR="00A35236" w:rsidRPr="00F22FB6" w:rsidRDefault="00A35236" w:rsidP="00A35236">
      <w:pPr>
        <w:pStyle w:val="Observation"/>
        <w:rPr>
          <w:sz w:val="22"/>
          <w:lang w:val="en-GB"/>
        </w:rPr>
      </w:pPr>
      <w:bookmarkStart w:id="1" w:name="_Toc210423546"/>
      <w:r w:rsidRPr="00F22FB6">
        <w:rPr>
          <w:sz w:val="22"/>
          <w:lang w:val="en-GB"/>
        </w:rPr>
        <w:t>UAV networks are interference limited as compared to ATG systems which are path-loss limited, and the key challenge is to close the link budget over long ranges.</w:t>
      </w:r>
      <w:bookmarkEnd w:id="1"/>
    </w:p>
    <w:p w14:paraId="6D7E4C9A" w14:textId="6AD89E0B" w:rsidR="00A35236" w:rsidRPr="0053491E" w:rsidRDefault="00A17EB3" w:rsidP="0053491E">
      <w:pPr>
        <w:pStyle w:val="CommentText"/>
        <w:rPr>
          <w:sz w:val="22"/>
          <w:lang w:val="en-GB"/>
        </w:rPr>
      </w:pPr>
      <w:r w:rsidRPr="0053491E">
        <w:rPr>
          <w:sz w:val="22"/>
          <w:lang w:val="en-GB"/>
        </w:rPr>
        <w:t xml:space="preserve">The application scenarios stated in the WID include logistics, travel, tourism, control and supervision, medical rescue etc. </w:t>
      </w:r>
      <w:r w:rsidR="001248BE" w:rsidRPr="0053491E">
        <w:rPr>
          <w:sz w:val="22"/>
          <w:lang w:val="en-GB"/>
        </w:rPr>
        <w:t xml:space="preserve">Further clarification is needed </w:t>
      </w:r>
      <w:r w:rsidR="0060177A" w:rsidRPr="0053491E">
        <w:rPr>
          <w:sz w:val="22"/>
          <w:lang w:val="en-GB"/>
        </w:rPr>
        <w:t xml:space="preserve">whether altitude stated </w:t>
      </w:r>
      <w:r w:rsidR="004463FC" w:rsidRPr="00F22FB6">
        <w:rPr>
          <w:sz w:val="22"/>
          <w:lang w:val="en-GB"/>
        </w:rPr>
        <w:t xml:space="preserve">for support </w:t>
      </w:r>
      <w:r w:rsidR="0060177A" w:rsidRPr="0053491E">
        <w:rPr>
          <w:sz w:val="22"/>
          <w:lang w:val="en-GB" w:eastAsia="ja-JP"/>
        </w:rPr>
        <w:t>up to 0.6 km ~1 km</w:t>
      </w:r>
      <w:r w:rsidR="00123B98" w:rsidRPr="0053491E">
        <w:rPr>
          <w:sz w:val="22"/>
          <w:lang w:val="en-GB" w:eastAsia="ja-JP"/>
        </w:rPr>
        <w:t xml:space="preserve"> </w:t>
      </w:r>
      <w:r w:rsidR="004463FC" w:rsidRPr="0053491E">
        <w:rPr>
          <w:sz w:val="22"/>
          <w:lang w:val="en-GB" w:eastAsia="ja-JP"/>
        </w:rPr>
        <w:t xml:space="preserve">is a reasonable </w:t>
      </w:r>
      <w:r w:rsidR="00015871" w:rsidRPr="0053491E">
        <w:rPr>
          <w:sz w:val="22"/>
          <w:lang w:val="en-GB" w:eastAsia="ja-JP"/>
        </w:rPr>
        <w:t>range</w:t>
      </w:r>
      <w:r w:rsidR="004463FC" w:rsidRPr="0053491E">
        <w:rPr>
          <w:sz w:val="22"/>
          <w:lang w:val="en-GB" w:eastAsia="ja-JP"/>
        </w:rPr>
        <w:t xml:space="preserve"> considering the targeted application scenarios</w:t>
      </w:r>
      <w:r w:rsidR="00202BDF" w:rsidRPr="0053491E">
        <w:rPr>
          <w:sz w:val="22"/>
          <w:lang w:val="en-GB" w:eastAsia="ja-JP"/>
        </w:rPr>
        <w:t>.</w:t>
      </w:r>
    </w:p>
    <w:p w14:paraId="1A4AE199" w14:textId="0E75DDB5" w:rsidR="00DA6030" w:rsidRPr="0053491E" w:rsidRDefault="00C71F54" w:rsidP="0053491E">
      <w:pPr>
        <w:pStyle w:val="Observation"/>
        <w:rPr>
          <w:sz w:val="22"/>
          <w:lang w:val="en-GB"/>
        </w:rPr>
      </w:pPr>
      <w:bookmarkStart w:id="2" w:name="_Toc210423547"/>
      <w:r w:rsidRPr="0053491E">
        <w:rPr>
          <w:sz w:val="22"/>
          <w:lang w:val="en-GB"/>
        </w:rPr>
        <w:t xml:space="preserve">RAN4 should clarify </w:t>
      </w:r>
      <w:r w:rsidR="008164BB">
        <w:rPr>
          <w:sz w:val="22"/>
          <w:lang w:val="en-GB"/>
        </w:rPr>
        <w:t>further with the assumption of coverage height -</w:t>
      </w:r>
      <w:r w:rsidR="00F22FB6">
        <w:rPr>
          <w:sz w:val="22"/>
          <w:lang w:val="en-GB"/>
        </w:rPr>
        <w:t xml:space="preserve"> </w:t>
      </w:r>
      <w:r w:rsidR="008164BB" w:rsidRPr="0060177A">
        <w:rPr>
          <w:sz w:val="22"/>
          <w:lang w:val="en-GB"/>
        </w:rPr>
        <w:t>up to 0.6 km ~1 km</w:t>
      </w:r>
      <w:bookmarkEnd w:id="2"/>
    </w:p>
    <w:p w14:paraId="09ABDC3F" w14:textId="77777777" w:rsidR="00D92564" w:rsidRPr="00F22FB6" w:rsidRDefault="00A35236" w:rsidP="00A35236">
      <w:pPr>
        <w:pStyle w:val="CommentText"/>
        <w:rPr>
          <w:iCs/>
          <w:sz w:val="22"/>
          <w:lang w:eastAsia="zh-CN"/>
        </w:rPr>
      </w:pPr>
      <w:r w:rsidRPr="00F22FB6">
        <w:rPr>
          <w:sz w:val="22"/>
          <w:lang w:val="en-GB"/>
        </w:rPr>
        <w:t xml:space="preserve">For the ATG network, a single ATG BS with a single cell was assumed. </w:t>
      </w:r>
      <w:r w:rsidRPr="00F22FB6">
        <w:rPr>
          <w:iCs/>
          <w:sz w:val="22"/>
          <w:lang w:eastAsia="zh-CN"/>
        </w:rPr>
        <w:t>The aircraft were assumed to fly in a straight line from the minimum distance to the maximum horizontal distance from the ATG BS in the horizontal boresight of the ATG sector.</w:t>
      </w:r>
      <w:r w:rsidR="00B25858" w:rsidRPr="00F22FB6">
        <w:rPr>
          <w:iCs/>
          <w:sz w:val="22"/>
          <w:lang w:eastAsia="zh-CN"/>
        </w:rPr>
        <w:t xml:space="preserve"> </w:t>
      </w:r>
      <w:r w:rsidRPr="00F22FB6">
        <w:rPr>
          <w:iCs/>
          <w:sz w:val="22"/>
          <w:lang w:eastAsia="zh-CN"/>
        </w:rPr>
        <w:t xml:space="preserve">It is not clear from WID what shall be the </w:t>
      </w:r>
      <w:r w:rsidR="00B25858" w:rsidRPr="00F22FB6">
        <w:rPr>
          <w:iCs/>
          <w:sz w:val="22"/>
          <w:lang w:eastAsia="zh-CN"/>
        </w:rPr>
        <w:t>assumption of number of UAV UEs per cell</w:t>
      </w:r>
      <w:r w:rsidR="00AA148D" w:rsidRPr="00F22FB6">
        <w:rPr>
          <w:iCs/>
          <w:sz w:val="22"/>
          <w:lang w:eastAsia="zh-CN"/>
        </w:rPr>
        <w:t xml:space="preserve"> and what shall be the route of UAV UEs – whether they follow specific route </w:t>
      </w:r>
      <w:r w:rsidR="003477D5" w:rsidRPr="00F22FB6">
        <w:rPr>
          <w:iCs/>
          <w:sz w:val="22"/>
          <w:lang w:eastAsia="zh-CN"/>
        </w:rPr>
        <w:t>same as ATG UEs.</w:t>
      </w:r>
    </w:p>
    <w:p w14:paraId="536B9F4B" w14:textId="2D526531" w:rsidR="00C71F54" w:rsidRPr="0053491E" w:rsidRDefault="00C71F54" w:rsidP="0053491E">
      <w:pPr>
        <w:pStyle w:val="Observation"/>
        <w:rPr>
          <w:iCs/>
          <w:sz w:val="22"/>
          <w:lang w:eastAsia="zh-CN"/>
        </w:rPr>
      </w:pPr>
      <w:bookmarkStart w:id="3" w:name="_Toc210423548"/>
      <w:r w:rsidRPr="00F22FB6">
        <w:rPr>
          <w:bCs w:val="0"/>
          <w:sz w:val="22"/>
          <w:lang w:eastAsia="zh-CN"/>
        </w:rPr>
        <w:t>UAV system performance also depends on UE density, while ATG systems are more sensitive to aircraft trajectory and long distance link closure</w:t>
      </w:r>
      <w:r w:rsidRPr="00052770">
        <w:rPr>
          <w:bCs w:val="0"/>
          <w:sz w:val="22"/>
          <w:lang w:eastAsia="zh-CN"/>
        </w:rPr>
        <w:t>.</w:t>
      </w:r>
      <w:bookmarkEnd w:id="3"/>
      <w:r w:rsidRPr="00052770">
        <w:rPr>
          <w:bCs w:val="0"/>
          <w:sz w:val="22"/>
          <w:lang w:eastAsia="zh-CN"/>
        </w:rPr>
        <w:t xml:space="preserve"> </w:t>
      </w:r>
    </w:p>
    <w:p w14:paraId="331A4E37" w14:textId="69D19D6D" w:rsidR="006248B9" w:rsidRDefault="00361EF8" w:rsidP="0053491E">
      <w:pPr>
        <w:pStyle w:val="CommentText"/>
        <w:rPr>
          <w:iCs/>
          <w:sz w:val="22"/>
          <w:lang w:eastAsia="zh-CN"/>
        </w:rPr>
      </w:pPr>
      <w:r w:rsidRPr="0060177A">
        <w:rPr>
          <w:iCs/>
          <w:sz w:val="22"/>
          <w:lang w:eastAsia="zh-CN"/>
        </w:rPr>
        <w:t>For UAV scenarios, there is also a dependency on the assumed UE antenna characteristics. If the UAV is equipped with an antenna array capable of beamforming or directional gain, interference towards terrestrial systems can be reduced, leading to less severe coexistence issues. However, to ensure robustness in coexistence</w:t>
      </w:r>
      <w:r w:rsidRPr="00DE1A5C">
        <w:rPr>
          <w:iCs/>
          <w:sz w:val="22"/>
          <w:lang w:eastAsia="zh-CN"/>
        </w:rPr>
        <w:t xml:space="preserve"> evaluations, it is reasonable to consider a worst-case assumption where the UAV UE employs an omnidirectional antenna, since this maximizes the potential interference in all directions and removes any reliance on specific antenna implementation.</w:t>
      </w:r>
    </w:p>
    <w:p w14:paraId="306B8A13" w14:textId="77777777" w:rsidR="0053491E" w:rsidRPr="00052770" w:rsidRDefault="0053491E" w:rsidP="0053491E">
      <w:pPr>
        <w:pStyle w:val="CommentText"/>
        <w:rPr>
          <w:sz w:val="22"/>
        </w:rPr>
      </w:pPr>
    </w:p>
    <w:p w14:paraId="01432BFE" w14:textId="47B43F65" w:rsidR="00F130A0" w:rsidRDefault="00D96008">
      <w:pPr>
        <w:pStyle w:val="Observation"/>
        <w:rPr>
          <w:sz w:val="22"/>
        </w:rPr>
      </w:pPr>
      <w:bookmarkStart w:id="4" w:name="_Toc210423549"/>
      <w:r>
        <w:rPr>
          <w:sz w:val="22"/>
        </w:rPr>
        <w:t>If</w:t>
      </w:r>
      <w:r w:rsidR="00DD5981" w:rsidRPr="00DD5981">
        <w:rPr>
          <w:sz w:val="22"/>
        </w:rPr>
        <w:t xml:space="preserve"> the UAV UE </w:t>
      </w:r>
      <w:r w:rsidR="009E2410">
        <w:rPr>
          <w:sz w:val="22"/>
        </w:rPr>
        <w:t>has</w:t>
      </w:r>
      <w:r w:rsidR="00DD5981" w:rsidRPr="00DD5981">
        <w:rPr>
          <w:sz w:val="22"/>
        </w:rPr>
        <w:t xml:space="preserve"> directional/beamforming antennas</w:t>
      </w:r>
      <w:r>
        <w:rPr>
          <w:sz w:val="22"/>
        </w:rPr>
        <w:t>, it can reduce interference to other networks.</w:t>
      </w:r>
      <w:r w:rsidR="00DD5981" w:rsidRPr="00DD5981">
        <w:rPr>
          <w:sz w:val="22"/>
        </w:rPr>
        <w:t xml:space="preserve"> </w:t>
      </w:r>
      <w:r>
        <w:rPr>
          <w:sz w:val="22"/>
        </w:rPr>
        <w:t>Ho</w:t>
      </w:r>
      <w:r w:rsidR="00DD5981" w:rsidRPr="00DD5981">
        <w:rPr>
          <w:sz w:val="22"/>
        </w:rPr>
        <w:t>wever, for robustness, coexistence evaluations should assume an omnidirectional UE antenna as a worst case.</w:t>
      </w:r>
      <w:bookmarkEnd w:id="4"/>
    </w:p>
    <w:p w14:paraId="207DD5B3" w14:textId="77777777" w:rsidR="0053491E" w:rsidRDefault="0053491E" w:rsidP="0053491E">
      <w:pPr>
        <w:pStyle w:val="Observation"/>
        <w:numPr>
          <w:ilvl w:val="0"/>
          <w:numId w:val="0"/>
        </w:numPr>
        <w:ind w:left="1701"/>
        <w:rPr>
          <w:sz w:val="22"/>
        </w:rPr>
      </w:pPr>
    </w:p>
    <w:p w14:paraId="31AA2F5D" w14:textId="07B61503" w:rsidR="00491B9B" w:rsidRDefault="00F130A0" w:rsidP="00052770">
      <w:pPr>
        <w:pStyle w:val="Observation"/>
        <w:rPr>
          <w:sz w:val="22"/>
        </w:rPr>
      </w:pPr>
      <w:bookmarkStart w:id="5" w:name="_Toc210423550"/>
      <w:r>
        <w:rPr>
          <w:sz w:val="22"/>
        </w:rPr>
        <w:t xml:space="preserve">It is worth </w:t>
      </w:r>
      <w:r w:rsidR="000C0FEB">
        <w:rPr>
          <w:sz w:val="22"/>
        </w:rPr>
        <w:t>noting</w:t>
      </w:r>
      <w:r>
        <w:rPr>
          <w:sz w:val="22"/>
        </w:rPr>
        <w:t xml:space="preserve"> that </w:t>
      </w:r>
      <w:r w:rsidR="00FF3D2F">
        <w:rPr>
          <w:sz w:val="22"/>
        </w:rPr>
        <w:t>an omnidirectional antenna on a UAV</w:t>
      </w:r>
      <w:r w:rsidR="00FB0D2D">
        <w:rPr>
          <w:sz w:val="22"/>
        </w:rPr>
        <w:t xml:space="preserve"> </w:t>
      </w:r>
      <w:r w:rsidR="0021079D">
        <w:rPr>
          <w:sz w:val="22"/>
        </w:rPr>
        <w:t>would actually be</w:t>
      </w:r>
      <w:r w:rsidR="00FB0D2D">
        <w:rPr>
          <w:sz w:val="22"/>
        </w:rPr>
        <w:t xml:space="preserve"> </w:t>
      </w:r>
      <w:r w:rsidR="000C0FEB">
        <w:rPr>
          <w:sz w:val="22"/>
        </w:rPr>
        <w:t>a downward sphere</w:t>
      </w:r>
      <w:r w:rsidR="003E010E">
        <w:rPr>
          <w:sz w:val="22"/>
        </w:rPr>
        <w:t>, as the UAV BSs are on the ground.</w:t>
      </w:r>
      <w:bookmarkEnd w:id="5"/>
      <w:r w:rsidR="003E010E">
        <w:rPr>
          <w:sz w:val="22"/>
        </w:rPr>
        <w:t xml:space="preserve"> </w:t>
      </w:r>
    </w:p>
    <w:p w14:paraId="4DE94116" w14:textId="186BED5C" w:rsidR="0034382D" w:rsidRDefault="0034382D" w:rsidP="0034382D">
      <w:pPr>
        <w:pStyle w:val="Heading2"/>
      </w:pPr>
      <w:r>
        <w:t>2.2</w:t>
      </w:r>
      <w:r>
        <w:tab/>
        <w:t>Downlink co-existence considerations</w:t>
      </w:r>
    </w:p>
    <w:p w14:paraId="7ADA86B9" w14:textId="1A153813" w:rsidR="0034382D" w:rsidRPr="0091346A" w:rsidRDefault="0034382D" w:rsidP="0053491E">
      <w:pPr>
        <w:spacing w:line="276" w:lineRule="auto"/>
        <w:rPr>
          <w:rFonts w:cs="Arial"/>
          <w:lang w:val="en-IN" w:eastAsia="ja-JP"/>
        </w:rPr>
      </w:pPr>
      <w:r w:rsidRPr="009B7E0A">
        <w:rPr>
          <w:rFonts w:cs="Arial"/>
          <w:sz w:val="22"/>
          <w:lang w:val="en-GB" w:eastAsia="ja-JP"/>
        </w:rPr>
        <w:t xml:space="preserve">In the Rel-15 Study on Enhanced LTE support for Aerial Vehicles </w:t>
      </w:r>
      <w:r w:rsidRPr="0053491E">
        <w:rPr>
          <w:rFonts w:cs="Arial"/>
          <w:sz w:val="22"/>
          <w:lang w:val="en-GB" w:eastAsia="ja-JP"/>
        </w:rPr>
        <w:t>documented in TR 36.777 [</w:t>
      </w:r>
      <w:r w:rsidR="008D2A1A" w:rsidRPr="0053491E">
        <w:rPr>
          <w:rFonts w:cs="Arial"/>
          <w:sz w:val="22"/>
          <w:lang w:val="en-GB" w:eastAsia="ja-JP"/>
        </w:rPr>
        <w:t>3</w:t>
      </w:r>
      <w:r w:rsidRPr="0053491E">
        <w:rPr>
          <w:rFonts w:cs="Arial"/>
          <w:sz w:val="22"/>
          <w:lang w:val="en-GB" w:eastAsia="ja-JP"/>
        </w:rPr>
        <w:t xml:space="preserve">], the deployment assumptions were considering both aerial UEs and terrestrial UEs in a single network with IoT (Interference over Thermal) as a performance metric among others. It was observed from the results that aerial UEs will receive more interference in the DL as the aerial UEs experience LoS conditions to multiple cells. </w:t>
      </w:r>
      <w:r w:rsidR="00A23A3D" w:rsidRPr="0053491E">
        <w:rPr>
          <w:rFonts w:cs="Arial"/>
          <w:sz w:val="22"/>
          <w:lang w:val="en-IN" w:eastAsia="ja-JP"/>
        </w:rPr>
        <w:t>It should be noted that the assumptions for this study can be taken as a good starting point, however all may not be relevant considering the current study.</w:t>
      </w:r>
    </w:p>
    <w:p w14:paraId="2C6F7174" w14:textId="2E2510E8" w:rsidR="0034382D" w:rsidRPr="00000D3E" w:rsidRDefault="0034382D" w:rsidP="0034382D">
      <w:pPr>
        <w:spacing w:line="276" w:lineRule="auto"/>
        <w:rPr>
          <w:rFonts w:cs="Arial"/>
          <w:sz w:val="22"/>
          <w:lang w:val="en-IN" w:eastAsia="ja-JP"/>
        </w:rPr>
      </w:pPr>
      <w:r w:rsidRPr="0091346A">
        <w:rPr>
          <w:rFonts w:cs="Arial"/>
          <w:sz w:val="22"/>
          <w:lang w:val="en-IN" w:eastAsia="ja-JP"/>
        </w:rPr>
        <w:lastRenderedPageBreak/>
        <w:t xml:space="preserve">The co-existence scenarios concerning this study shall assume two separate networks. It is not clear from the WID whether downlink scenarios will be studied for co-existence evaluations. The UL scenarios have been </w:t>
      </w:r>
      <w:r w:rsidRPr="0053491E">
        <w:rPr>
          <w:rFonts w:cs="Arial"/>
          <w:sz w:val="22"/>
          <w:lang w:val="en-IN" w:eastAsia="ja-JP"/>
        </w:rPr>
        <w:t>discussed in our companion paper [</w:t>
      </w:r>
      <w:r w:rsidR="008D2A1A" w:rsidRPr="0053491E">
        <w:rPr>
          <w:rFonts w:cs="Arial"/>
          <w:sz w:val="22"/>
          <w:lang w:val="en-IN" w:eastAsia="ja-JP"/>
        </w:rPr>
        <w:t>4</w:t>
      </w:r>
      <w:r w:rsidRPr="0053491E">
        <w:rPr>
          <w:rFonts w:cs="Arial"/>
          <w:sz w:val="22"/>
          <w:lang w:val="en-IN" w:eastAsia="ja-JP"/>
        </w:rPr>
        <w:t>].</w:t>
      </w:r>
      <w:r w:rsidRPr="0091346A">
        <w:rPr>
          <w:rFonts w:cs="Arial"/>
          <w:sz w:val="22"/>
          <w:lang w:val="en-IN" w:eastAsia="ja-JP"/>
        </w:rPr>
        <w:t xml:space="preserve"> However, to ensure robust performance for the whole UAV system, it is important to analyse the performance impact </w:t>
      </w:r>
      <w:r w:rsidR="5E72950B" w:rsidRPr="0091346A">
        <w:rPr>
          <w:rFonts w:cs="Arial"/>
          <w:sz w:val="22"/>
          <w:lang w:val="en-IN" w:eastAsia="ja-JP"/>
        </w:rPr>
        <w:t xml:space="preserve">on </w:t>
      </w:r>
      <w:r w:rsidRPr="0091346A">
        <w:rPr>
          <w:rFonts w:cs="Arial"/>
          <w:sz w:val="22"/>
          <w:lang w:val="en-IN" w:eastAsia="ja-JP"/>
        </w:rPr>
        <w:t>both DL and UL</w:t>
      </w:r>
      <w:r w:rsidR="009E2410" w:rsidRPr="0091346A">
        <w:rPr>
          <w:rFonts w:cs="Arial"/>
          <w:sz w:val="22"/>
          <w:lang w:val="en-IN" w:eastAsia="ja-JP"/>
        </w:rPr>
        <w:t xml:space="preserve"> cases</w:t>
      </w:r>
      <w:r w:rsidR="009E2410">
        <w:rPr>
          <w:rFonts w:cs="Arial"/>
          <w:sz w:val="22"/>
          <w:lang w:val="en-IN" w:eastAsia="ja-JP"/>
        </w:rPr>
        <w:t>.</w:t>
      </w:r>
    </w:p>
    <w:p w14:paraId="1B98DB1C" w14:textId="77777777" w:rsidR="0034382D" w:rsidRDefault="0034382D" w:rsidP="0034382D">
      <w:pPr>
        <w:pStyle w:val="Heading3"/>
      </w:pPr>
      <w:r>
        <w:t>2.2.1</w:t>
      </w:r>
      <w:r>
        <w:tab/>
        <w:t>TN downlink to UAV downlink co-existence</w:t>
      </w:r>
    </w:p>
    <w:p w14:paraId="65DA9088" w14:textId="6FC97E86" w:rsidR="0034382D" w:rsidRPr="00A26121" w:rsidRDefault="0034382D" w:rsidP="0034382D">
      <w:pPr>
        <w:spacing w:line="276" w:lineRule="auto"/>
        <w:rPr>
          <w:sz w:val="22"/>
          <w:lang w:val="en-GB" w:eastAsia="ja-JP"/>
        </w:rPr>
      </w:pPr>
      <w:r w:rsidRPr="00A26121">
        <w:rPr>
          <w:sz w:val="22"/>
          <w:lang w:val="en-GB" w:eastAsia="ja-JP"/>
        </w:rPr>
        <w:t xml:space="preserve">This case looks at interference from Terrestrial BS DL transmissions into UAV network DL receivers. Here, a UAV UE receives its DL signal from a UAV BS, but at the same time is exposed to strong interfering signals from TN BSs transmitting on the same or adjacent channels. Unlike TN UEs (which are shielded by clutter, buildings and terrains), UAVs at altitudes will have LoS to multiple TN BSs simultaneously even at altitudes </w:t>
      </w:r>
      <w:r w:rsidR="605FE2F4" w:rsidRPr="00A26121">
        <w:rPr>
          <w:sz w:val="22"/>
          <w:lang w:val="en-GB" w:eastAsia="ja-JP"/>
        </w:rPr>
        <w:t>up</w:t>
      </w:r>
      <w:r w:rsidR="64B99DAE" w:rsidRPr="00A26121">
        <w:rPr>
          <w:sz w:val="22"/>
          <w:lang w:val="en-GB" w:eastAsia="ja-JP"/>
        </w:rPr>
        <w:t xml:space="preserve"> </w:t>
      </w:r>
      <w:r w:rsidR="605FE2F4" w:rsidRPr="00A26121">
        <w:rPr>
          <w:sz w:val="22"/>
          <w:lang w:val="en-GB" w:eastAsia="ja-JP"/>
        </w:rPr>
        <w:t xml:space="preserve">to </w:t>
      </w:r>
      <w:r w:rsidRPr="00A26121">
        <w:rPr>
          <w:sz w:val="22"/>
          <w:lang w:val="en-GB" w:eastAsia="ja-JP"/>
        </w:rPr>
        <w:t xml:space="preserve">1 </w:t>
      </w:r>
      <w:r w:rsidR="5CF45CDD" w:rsidRPr="00A26121">
        <w:rPr>
          <w:sz w:val="22"/>
          <w:lang w:val="en-GB" w:eastAsia="ja-JP"/>
        </w:rPr>
        <w:t>K</w:t>
      </w:r>
      <w:r w:rsidRPr="00A26121">
        <w:rPr>
          <w:sz w:val="22"/>
          <w:lang w:val="en-GB" w:eastAsia="ja-JP"/>
        </w:rPr>
        <w:t xml:space="preserve">m. UAV UEs may accumulate interference from many non-serving TN BSs. </w:t>
      </w:r>
      <w:r w:rsidR="00AF6A85" w:rsidRPr="00A26121">
        <w:rPr>
          <w:sz w:val="22"/>
          <w:lang w:val="en-GB" w:eastAsia="ja-JP"/>
        </w:rPr>
        <w:t xml:space="preserve">It may be that the most problematic case need not be the TN BSs that are directly under the UAV UEs </w:t>
      </w:r>
      <w:r w:rsidR="00A5446F" w:rsidRPr="00A26121">
        <w:rPr>
          <w:sz w:val="22"/>
          <w:lang w:val="en-GB" w:eastAsia="ja-JP"/>
        </w:rPr>
        <w:t>as the antenna is pointing downwards. However, considering LoS</w:t>
      </w:r>
      <w:r w:rsidR="00114112" w:rsidRPr="00A26121">
        <w:rPr>
          <w:sz w:val="22"/>
          <w:lang w:val="en-GB" w:eastAsia="ja-JP"/>
        </w:rPr>
        <w:t xml:space="preserve"> conditions </w:t>
      </w:r>
      <w:r w:rsidR="00F73E3C" w:rsidRPr="00A26121">
        <w:rPr>
          <w:sz w:val="22"/>
          <w:lang w:val="en-GB" w:eastAsia="ja-JP"/>
        </w:rPr>
        <w:t xml:space="preserve">TN BSs which are far away at the horizon from UAV point of view could contribute to accumulated interference. </w:t>
      </w:r>
    </w:p>
    <w:p w14:paraId="0CE7ADB7" w14:textId="7E19756D" w:rsidR="0034382D" w:rsidRDefault="00C94C4D" w:rsidP="0034382D">
      <w:pPr>
        <w:pStyle w:val="Observation"/>
        <w:rPr>
          <w:sz w:val="22"/>
        </w:rPr>
      </w:pPr>
      <w:bookmarkStart w:id="6" w:name="_Toc210423551"/>
      <w:r w:rsidRPr="00A26121">
        <w:rPr>
          <w:sz w:val="22"/>
        </w:rPr>
        <w:t>In DL case when UAV UEs are victim</w:t>
      </w:r>
      <w:r w:rsidR="0034382D" w:rsidRPr="00A26121">
        <w:rPr>
          <w:sz w:val="22"/>
        </w:rPr>
        <w:t xml:space="preserve">, UAV UEs may accumulate interference due to LoS to multiple TN BSs simultaneously even at altitudes up to 1 </w:t>
      </w:r>
      <w:r w:rsidR="1B743879" w:rsidRPr="00A26121">
        <w:rPr>
          <w:sz w:val="22"/>
        </w:rPr>
        <w:t>K</w:t>
      </w:r>
      <w:r w:rsidR="0034382D" w:rsidRPr="00A26121">
        <w:rPr>
          <w:sz w:val="22"/>
        </w:rPr>
        <w:t>m</w:t>
      </w:r>
      <w:r w:rsidR="005B39BB" w:rsidRPr="00A26121">
        <w:rPr>
          <w:sz w:val="22"/>
        </w:rPr>
        <w:t>.</w:t>
      </w:r>
      <w:bookmarkEnd w:id="6"/>
    </w:p>
    <w:p w14:paraId="0C773EB2" w14:textId="77777777" w:rsidR="00A26121" w:rsidRPr="00A26121" w:rsidRDefault="00A26121" w:rsidP="0053491E">
      <w:pPr>
        <w:pStyle w:val="CommentText"/>
      </w:pPr>
    </w:p>
    <w:p w14:paraId="34E209CB" w14:textId="2F3B6090" w:rsidR="00DA0218" w:rsidRPr="0053491E" w:rsidRDefault="00CB5886" w:rsidP="005B39BB">
      <w:pPr>
        <w:pStyle w:val="Observation"/>
        <w:rPr>
          <w:sz w:val="22"/>
        </w:rPr>
      </w:pPr>
      <w:bookmarkStart w:id="7" w:name="_Toc210423552"/>
      <w:r w:rsidRPr="00A26121">
        <w:rPr>
          <w:sz w:val="22"/>
          <w:lang w:val="en-GB"/>
        </w:rPr>
        <w:t>Considering LoS conditions TN BSs which are far away at the horizon from UAV point of view could contribute to accumulated interference.</w:t>
      </w:r>
      <w:bookmarkEnd w:id="7"/>
    </w:p>
    <w:p w14:paraId="2F000612" w14:textId="7072479E" w:rsidR="0034382D" w:rsidRPr="00A26121" w:rsidRDefault="0034382D" w:rsidP="0034382D">
      <w:pPr>
        <w:pStyle w:val="CommentText"/>
        <w:rPr>
          <w:sz w:val="22"/>
        </w:rPr>
      </w:pPr>
      <w:r w:rsidRPr="00A26121">
        <w:rPr>
          <w:sz w:val="22"/>
        </w:rPr>
        <w:t>In the Rel-18 ATG study [</w:t>
      </w:r>
      <w:r w:rsidR="00BD01EF" w:rsidRPr="00A26121">
        <w:rPr>
          <w:sz w:val="22"/>
        </w:rPr>
        <w:t>2</w:t>
      </w:r>
      <w:r w:rsidRPr="00A26121">
        <w:rPr>
          <w:sz w:val="22"/>
        </w:rPr>
        <w:t xml:space="preserve">], Ericsson provided additional simulation results to study the impact of ATG UE height distribution on the TN DL. The common assumption to derive the ATG UE ACS was with uniform ATG UE distribution between 3-10 km altitude. However, from the additional results it was observed that the ATG UE suffers higher degradation than the acceptable 5% during take-off and landing i.e. at 3 km as compared to two other cases of uniform distribution and fixed 10 km. It was not concerning as aircrafts are usually at altitudes close to 10km or higher when cruising. </w:t>
      </w:r>
    </w:p>
    <w:p w14:paraId="2EF5AA0C" w14:textId="1E9ABD84" w:rsidR="0034382D" w:rsidRPr="00A26121" w:rsidRDefault="00C94C4D" w:rsidP="0034382D">
      <w:pPr>
        <w:pStyle w:val="Observation"/>
        <w:rPr>
          <w:sz w:val="22"/>
        </w:rPr>
      </w:pPr>
      <w:bookmarkStart w:id="8" w:name="_Toc210423553"/>
      <w:r w:rsidRPr="00A26121">
        <w:rPr>
          <w:sz w:val="22"/>
        </w:rPr>
        <w:t>It was observed that</w:t>
      </w:r>
      <w:r w:rsidR="0034382D" w:rsidRPr="00A26121">
        <w:rPr>
          <w:sz w:val="22"/>
        </w:rPr>
        <w:t xml:space="preserve"> ATG UEs suffered higher degradation than acceptable 5% at fixed 3 kms height than in uniform distribution or fixed 10 kms height.</w:t>
      </w:r>
      <w:bookmarkEnd w:id="8"/>
    </w:p>
    <w:p w14:paraId="2189491B" w14:textId="37B7FB77" w:rsidR="0034382D" w:rsidRPr="00A26121" w:rsidRDefault="0034382D" w:rsidP="0034382D">
      <w:pPr>
        <w:pStyle w:val="CommentText"/>
        <w:rPr>
          <w:sz w:val="22"/>
        </w:rPr>
      </w:pPr>
      <w:r w:rsidRPr="00A26121">
        <w:rPr>
          <w:sz w:val="22"/>
        </w:rPr>
        <w:t>In order to make the UAV system robust, it is essential to study the impact of TN networks on the UAV networks as UAV UEs are more exposed to aggregate interference due to LoS to multiple TN BSs at relatively low altitudes</w:t>
      </w:r>
      <w:r w:rsidR="00A26121" w:rsidRPr="00A26121">
        <w:rPr>
          <w:sz w:val="22"/>
        </w:rPr>
        <w:t xml:space="preserve"> as well as when TN BS are at horizon from UAV point of view. </w:t>
      </w:r>
    </w:p>
    <w:p w14:paraId="2AC653DF" w14:textId="0B072695" w:rsidR="0034382D" w:rsidRPr="00052770" w:rsidRDefault="0034382D" w:rsidP="0034382D">
      <w:pPr>
        <w:pStyle w:val="Proposal"/>
        <w:rPr>
          <w:sz w:val="22"/>
        </w:rPr>
      </w:pPr>
      <w:bookmarkStart w:id="9" w:name="_Toc210423555"/>
      <w:r w:rsidRPr="00A26121">
        <w:rPr>
          <w:sz w:val="22"/>
        </w:rPr>
        <w:t>Consider</w:t>
      </w:r>
      <w:r w:rsidRPr="00A26121">
        <w:rPr>
          <w:sz w:val="22"/>
          <w:lang w:val="en-GB"/>
        </w:rPr>
        <w:t xml:space="preserve"> the TN DL to UAV DL co-existence analysis, </w:t>
      </w:r>
      <w:r w:rsidRPr="00A26121">
        <w:rPr>
          <w:sz w:val="22"/>
        </w:rPr>
        <w:t xml:space="preserve">where UAV UEs are victims due to </w:t>
      </w:r>
      <w:r w:rsidR="605FE2F4" w:rsidRPr="00A26121">
        <w:rPr>
          <w:sz w:val="22"/>
        </w:rPr>
        <w:t>aggregate</w:t>
      </w:r>
      <w:r w:rsidR="37168393" w:rsidRPr="00A26121">
        <w:rPr>
          <w:sz w:val="22"/>
        </w:rPr>
        <w:t>d</w:t>
      </w:r>
      <w:r w:rsidRPr="00A26121">
        <w:rPr>
          <w:sz w:val="22"/>
        </w:rPr>
        <w:t xml:space="preserve"> interference from multiple TN BSs in co-existence evaluations</w:t>
      </w:r>
      <w:r w:rsidR="009A124D" w:rsidRPr="00A26121">
        <w:rPr>
          <w:sz w:val="22"/>
        </w:rPr>
        <w:t xml:space="preserve"> when TN BSs are underneath UAV UE and TN BSs are far away at horizon from UAV point of view.</w:t>
      </w:r>
      <w:bookmarkEnd w:id="9"/>
      <w:r w:rsidR="009A124D">
        <w:rPr>
          <w:sz w:val="22"/>
        </w:rPr>
        <w:t xml:space="preserve"> </w:t>
      </w:r>
    </w:p>
    <w:p w14:paraId="158C5B4B" w14:textId="77777777" w:rsidR="0034382D" w:rsidRDefault="0034382D" w:rsidP="0034382D">
      <w:pPr>
        <w:pStyle w:val="Heading3"/>
      </w:pPr>
      <w:r>
        <w:t>2.2.2</w:t>
      </w:r>
      <w:r>
        <w:tab/>
        <w:t>UAV downlink to TN downlink co-existence</w:t>
      </w:r>
    </w:p>
    <w:p w14:paraId="059B3F9E" w14:textId="7E9B33CE" w:rsidR="0034382D" w:rsidRPr="00A26121" w:rsidRDefault="0034382D" w:rsidP="00DA0218">
      <w:pPr>
        <w:rPr>
          <w:sz w:val="22"/>
          <w:lang w:val="en-GB" w:eastAsia="ja-JP"/>
        </w:rPr>
      </w:pPr>
      <w:r w:rsidRPr="00A26121">
        <w:rPr>
          <w:sz w:val="22"/>
          <w:lang w:val="en-GB" w:eastAsia="ja-JP"/>
        </w:rPr>
        <w:t xml:space="preserve">This case looks at interference from UAV BS DL transmissions into TN network DL receivers. Here, TN UEs are intended to receive DL signals from their serving TN BSs, but they may be exposed to interfering UAV BS transmissions operating on the same or adjacent channels. </w:t>
      </w:r>
      <w:r w:rsidR="00DA0218" w:rsidRPr="00A26121">
        <w:rPr>
          <w:sz w:val="22"/>
          <w:lang w:val="en-GB" w:eastAsia="ja-JP"/>
        </w:rPr>
        <w:t>It is reasonable to a</w:t>
      </w:r>
      <w:r w:rsidR="007D4881" w:rsidRPr="00A26121">
        <w:rPr>
          <w:sz w:val="22"/>
          <w:lang w:val="en-GB" w:eastAsia="ja-JP"/>
        </w:rPr>
        <w:t>ssume that the</w:t>
      </w:r>
      <w:r w:rsidR="00293DEF" w:rsidRPr="00A26121">
        <w:rPr>
          <w:sz w:val="22"/>
          <w:lang w:val="en-GB" w:eastAsia="ja-JP"/>
        </w:rPr>
        <w:t xml:space="preserve"> interference would be </w:t>
      </w:r>
      <w:r w:rsidR="00AD3E27" w:rsidRPr="00A26121">
        <w:rPr>
          <w:sz w:val="22"/>
          <w:lang w:val="en-GB" w:eastAsia="ja-JP"/>
        </w:rPr>
        <w:t xml:space="preserve">less severe as compared to TN BSs, as the UAV BSs antenna </w:t>
      </w:r>
      <w:r w:rsidR="00C50989" w:rsidRPr="00A26121">
        <w:rPr>
          <w:sz w:val="22"/>
          <w:lang w:val="en-GB" w:eastAsia="ja-JP"/>
        </w:rPr>
        <w:t xml:space="preserve">will be pointing upwards. </w:t>
      </w:r>
    </w:p>
    <w:p w14:paraId="3F8BD2D4" w14:textId="77777777" w:rsidR="00C50989" w:rsidRPr="00A26121" w:rsidRDefault="00C50989" w:rsidP="00DA0218">
      <w:pPr>
        <w:rPr>
          <w:sz w:val="22"/>
          <w:lang w:val="en-GB" w:eastAsia="ja-JP"/>
        </w:rPr>
      </w:pPr>
    </w:p>
    <w:p w14:paraId="7432CE8F" w14:textId="77777777" w:rsidR="0071443B" w:rsidRDefault="00C50989" w:rsidP="00A26121">
      <w:pPr>
        <w:pStyle w:val="Observation"/>
        <w:rPr>
          <w:sz w:val="22"/>
        </w:rPr>
      </w:pPr>
      <w:bookmarkStart w:id="10" w:name="_Toc210423554"/>
      <w:r w:rsidRPr="00A26121">
        <w:rPr>
          <w:sz w:val="22"/>
        </w:rPr>
        <w:lastRenderedPageBreak/>
        <w:t xml:space="preserve">For the UAV </w:t>
      </w:r>
      <w:r w:rsidR="009963B3" w:rsidRPr="00A26121">
        <w:rPr>
          <w:sz w:val="22"/>
        </w:rPr>
        <w:t>DL to TN DL co-existence analysis</w:t>
      </w:r>
      <w:r w:rsidRPr="00A26121">
        <w:rPr>
          <w:sz w:val="22"/>
        </w:rPr>
        <w:t xml:space="preserve">, </w:t>
      </w:r>
      <w:r w:rsidR="00E80CBB" w:rsidRPr="00A26121">
        <w:rPr>
          <w:sz w:val="22"/>
        </w:rPr>
        <w:t xml:space="preserve">the interference from the UAV BSs to the TN UEs would </w:t>
      </w:r>
      <w:r w:rsidR="00397782" w:rsidRPr="00A26121">
        <w:rPr>
          <w:sz w:val="22"/>
        </w:rPr>
        <w:t>be less severe as compared to TN BSs, as the UAV BSs antenna will be pointing upwards.</w:t>
      </w:r>
      <w:bookmarkEnd w:id="10"/>
    </w:p>
    <w:p w14:paraId="37EB5693" w14:textId="77777777" w:rsidR="00C01F33" w:rsidRPr="00CE0424" w:rsidRDefault="00C01F33" w:rsidP="00052770">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C9B486" w14:textId="77777777" w:rsidR="00857A16"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423546" w:history="1">
        <w:r w:rsidR="00857A16" w:rsidRPr="00C9436C">
          <w:rPr>
            <w:rStyle w:val="Hyperlink"/>
            <w:noProof/>
            <w:lang w:val="en-GB"/>
          </w:rPr>
          <w:t>Observation 1</w:t>
        </w:r>
        <w:r w:rsidR="00857A16">
          <w:rPr>
            <w:rFonts w:asciiTheme="minorHAnsi" w:eastAsiaTheme="minorEastAsia" w:hAnsiTheme="minorHAnsi"/>
            <w:b w:val="0"/>
            <w:noProof/>
            <w:kern w:val="2"/>
            <w:sz w:val="24"/>
            <w:szCs w:val="24"/>
            <w:lang w:val="en-SE"/>
            <w14:ligatures w14:val="standardContextual"/>
          </w:rPr>
          <w:tab/>
        </w:r>
        <w:r w:rsidR="00857A16" w:rsidRPr="00C9436C">
          <w:rPr>
            <w:rStyle w:val="Hyperlink"/>
            <w:noProof/>
            <w:lang w:val="en-GB"/>
          </w:rPr>
          <w:t>UAV networks are interference limited as compared to ATG systems which are path-loss limited, and the key challenge is to close the link budget over long ranges.</w:t>
        </w:r>
      </w:hyperlink>
    </w:p>
    <w:p w14:paraId="3D1F3752"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47" w:history="1">
        <w:r w:rsidRPr="00C9436C">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C9436C">
          <w:rPr>
            <w:rStyle w:val="Hyperlink"/>
            <w:noProof/>
            <w:lang w:val="en-GB"/>
          </w:rPr>
          <w:t>RAN4 should clarify further with the assumption of coverage height - up to 0.6 km ~1 km</w:t>
        </w:r>
      </w:hyperlink>
    </w:p>
    <w:p w14:paraId="719A18EE"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48" w:history="1">
        <w:r w:rsidRPr="00C9436C">
          <w:rPr>
            <w:rStyle w:val="Hyperlink"/>
            <w:iCs/>
            <w:noProof/>
          </w:rPr>
          <w:t>Observation 3</w:t>
        </w:r>
        <w:r>
          <w:rPr>
            <w:rFonts w:asciiTheme="minorHAnsi" w:eastAsiaTheme="minorEastAsia" w:hAnsiTheme="minorHAnsi"/>
            <w:b w:val="0"/>
            <w:noProof/>
            <w:kern w:val="2"/>
            <w:sz w:val="24"/>
            <w:szCs w:val="24"/>
            <w:lang w:val="en-SE"/>
            <w14:ligatures w14:val="standardContextual"/>
          </w:rPr>
          <w:tab/>
        </w:r>
        <w:r w:rsidRPr="00C9436C">
          <w:rPr>
            <w:rStyle w:val="Hyperlink"/>
            <w:noProof/>
          </w:rPr>
          <w:t>UAV system performance also depends on UE density, while ATG systems are more sensitive to aircraft trajectory and long distance link closure.</w:t>
        </w:r>
      </w:hyperlink>
    </w:p>
    <w:p w14:paraId="3FBB61FD"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49" w:history="1">
        <w:r w:rsidRPr="00C9436C">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C9436C">
          <w:rPr>
            <w:rStyle w:val="Hyperlink"/>
            <w:noProof/>
          </w:rPr>
          <w:t>If the UAV UE has directional/beamforming antennas, it can reduce interference to other networks. However, for robustness, coexistence evaluations should assume an omnidirectional UE antenna as a worst case.</w:t>
        </w:r>
      </w:hyperlink>
    </w:p>
    <w:p w14:paraId="12AB06BF"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50" w:history="1">
        <w:r w:rsidRPr="00C9436C">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C9436C">
          <w:rPr>
            <w:rStyle w:val="Hyperlink"/>
            <w:noProof/>
          </w:rPr>
          <w:t>It is worth noting that an omnidirectional antenna on a UAV would actually be a downward sphere, as the UAV BSs are on the ground.</w:t>
        </w:r>
      </w:hyperlink>
    </w:p>
    <w:p w14:paraId="462E8D13"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51" w:history="1">
        <w:r w:rsidRPr="00C9436C">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C9436C">
          <w:rPr>
            <w:rStyle w:val="Hyperlink"/>
            <w:noProof/>
          </w:rPr>
          <w:t>In DL case when UAV UEs are victim, UAV UEs may accumulate interference due to LoS to multiple TN BSs simultaneously even at altitudes up to 1 Km.</w:t>
        </w:r>
      </w:hyperlink>
    </w:p>
    <w:p w14:paraId="02E6FAE2"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52" w:history="1">
        <w:r w:rsidRPr="00C9436C">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C9436C">
          <w:rPr>
            <w:rStyle w:val="Hyperlink"/>
            <w:noProof/>
            <w:lang w:val="en-GB"/>
          </w:rPr>
          <w:t>Considering LoS conditions TN BSs which are far away at the horizon from UAV point of view could contribute to accumulated interference.</w:t>
        </w:r>
      </w:hyperlink>
    </w:p>
    <w:p w14:paraId="72334F92"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53" w:history="1">
        <w:r w:rsidRPr="00C9436C">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C9436C">
          <w:rPr>
            <w:rStyle w:val="Hyperlink"/>
            <w:noProof/>
          </w:rPr>
          <w:t>It was observed that ATG UEs suffered higher degradation than acceptable 5% at fixed 3 kms height than in uniform distribution or fixed 10 kms height.</w:t>
        </w:r>
      </w:hyperlink>
    </w:p>
    <w:p w14:paraId="358078F9" w14:textId="77777777" w:rsidR="00857A16" w:rsidRDefault="00857A16">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0423554" w:history="1">
        <w:r w:rsidRPr="00C9436C">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C9436C">
          <w:rPr>
            <w:rStyle w:val="Hyperlink"/>
            <w:noProof/>
          </w:rPr>
          <w:t>For the UAV DL to TN DL co-existence analysis, the interference from the UAV BSs to the TN UEs would be less severe as compared to TN BSs, as the UAV BSs antenna will be pointing upwards.</w:t>
        </w:r>
      </w:hyperlink>
    </w:p>
    <w:p w14:paraId="5F69EC0F" w14:textId="1CADA64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B67F3C8" w14:textId="2DF04ECC" w:rsidR="00857A16"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0423555" w:history="1">
        <w:r w:rsidR="00857A16" w:rsidRPr="000424AD">
          <w:rPr>
            <w:rStyle w:val="Hyperlink"/>
            <w:noProof/>
          </w:rPr>
          <w:t>Proposal 1</w:t>
        </w:r>
        <w:r w:rsidR="00857A16">
          <w:rPr>
            <w:rFonts w:asciiTheme="minorHAnsi" w:eastAsiaTheme="minorEastAsia" w:hAnsiTheme="minorHAnsi"/>
            <w:b w:val="0"/>
            <w:noProof/>
            <w:kern w:val="2"/>
            <w:sz w:val="24"/>
            <w:szCs w:val="24"/>
            <w:lang w:val="en-SE"/>
            <w14:ligatures w14:val="standardContextual"/>
          </w:rPr>
          <w:tab/>
        </w:r>
        <w:r w:rsidR="00857A16" w:rsidRPr="000424AD">
          <w:rPr>
            <w:rStyle w:val="Hyperlink"/>
            <w:noProof/>
          </w:rPr>
          <w:t>Consider</w:t>
        </w:r>
        <w:r w:rsidR="00857A16" w:rsidRPr="000424AD">
          <w:rPr>
            <w:rStyle w:val="Hyperlink"/>
            <w:noProof/>
            <w:lang w:val="en-GB"/>
          </w:rPr>
          <w:t xml:space="preserve"> the TN DL to UAV DL co-existence analysis, </w:t>
        </w:r>
        <w:r w:rsidR="00857A16" w:rsidRPr="000424AD">
          <w:rPr>
            <w:rStyle w:val="Hyperlink"/>
            <w:noProof/>
          </w:rPr>
          <w:t>where UAV UEs are victims due to aggregated interference from multiple TN BSs in co-existence evaluations when TN BSs are underneath UAV UE and TN BSs are far away at horizon from UAV point of view.</w:t>
        </w:r>
      </w:hyperlink>
    </w:p>
    <w:p w14:paraId="747C743C" w14:textId="0E002A5C"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1" w:name="_In-sequence_SDU_delivery"/>
      <w:bookmarkEnd w:id="11"/>
      <w:r w:rsidRPr="00CE0424">
        <w:lastRenderedPageBreak/>
        <w:t>References</w:t>
      </w:r>
    </w:p>
    <w:p w14:paraId="4F06E09B" w14:textId="11781F70" w:rsidR="00B56C52" w:rsidRDefault="00B56C52" w:rsidP="007F6D5D">
      <w:pPr>
        <w:ind w:left="709" w:hanging="709"/>
      </w:pPr>
      <w:r>
        <w:rPr>
          <w:lang w:val="en-IN"/>
        </w:rPr>
        <w:t>[1]</w:t>
      </w:r>
      <w:r>
        <w:rPr>
          <w:lang w:val="en-IN"/>
        </w:rPr>
        <w:tab/>
      </w:r>
      <w:r>
        <w:t>RP-</w:t>
      </w:r>
      <w:r w:rsidR="00CF5075">
        <w:t>252908</w:t>
      </w:r>
      <w:r w:rsidRPr="00876F4C">
        <w:t>, “</w:t>
      </w:r>
      <w:r w:rsidR="00CF5075">
        <w:t>Enhancement of NR RF and RRM requirements for UAV”, 3GPP RAN#109, September 2025</w:t>
      </w:r>
    </w:p>
    <w:p w14:paraId="5649F9FA" w14:textId="3C80E149" w:rsidR="008D2A1A" w:rsidRPr="0053491E" w:rsidRDefault="008D2A1A" w:rsidP="007F6D5D">
      <w:pPr>
        <w:ind w:left="709" w:hanging="709"/>
      </w:pPr>
      <w:r w:rsidRPr="0053491E">
        <w:t>[2]</w:t>
      </w:r>
      <w:r w:rsidR="00CF5075" w:rsidRPr="0053491E">
        <w:tab/>
      </w:r>
      <w:r w:rsidR="007610A4" w:rsidRPr="0053491E">
        <w:t>3GPP TR 38.876 v18.2.0, “Air-to-gro</w:t>
      </w:r>
      <w:r w:rsidR="007610A4">
        <w:t>und network for NR”</w:t>
      </w:r>
      <w:r w:rsidR="00BB5D7D">
        <w:t>, July 2024</w:t>
      </w:r>
    </w:p>
    <w:p w14:paraId="21ED34D7" w14:textId="3E184460" w:rsidR="008D2A1A" w:rsidRDefault="008D2A1A" w:rsidP="007F6D5D">
      <w:pPr>
        <w:ind w:left="709" w:hanging="709"/>
        <w:rPr>
          <w:lang w:val="en-IN"/>
        </w:rPr>
      </w:pPr>
      <w:r>
        <w:rPr>
          <w:lang w:val="en-IN"/>
        </w:rPr>
        <w:t>[3]</w:t>
      </w:r>
      <w:r w:rsidR="00BB5D7D">
        <w:rPr>
          <w:lang w:val="en-IN"/>
        </w:rPr>
        <w:tab/>
      </w:r>
      <w:r w:rsidR="0091024D" w:rsidRPr="001B1209">
        <w:t xml:space="preserve">3GPP TR </w:t>
      </w:r>
      <w:r w:rsidR="0091024D">
        <w:t>26.777</w:t>
      </w:r>
      <w:r w:rsidR="0091024D" w:rsidRPr="001B1209">
        <w:t xml:space="preserve"> v1</w:t>
      </w:r>
      <w:r w:rsidR="0091024D">
        <w:t>5.0.</w:t>
      </w:r>
      <w:r w:rsidR="0091024D" w:rsidRPr="001B1209">
        <w:t>0, “</w:t>
      </w:r>
      <w:r w:rsidR="0091024D">
        <w:t xml:space="preserve">Study on Enhanced LTE support for Aerial Vehicles”, </w:t>
      </w:r>
      <w:r w:rsidR="00AF7E08">
        <w:t>December 2017</w:t>
      </w:r>
    </w:p>
    <w:p w14:paraId="715CA09B" w14:textId="5374168A" w:rsidR="003A7EF3" w:rsidRPr="00CE0424" w:rsidRDefault="008D2A1A" w:rsidP="0053491E">
      <w:pPr>
        <w:ind w:left="709" w:hanging="709"/>
      </w:pPr>
      <w:r>
        <w:rPr>
          <w:lang w:val="en-IN"/>
        </w:rPr>
        <w:t>[4]</w:t>
      </w:r>
      <w:r w:rsidR="00135D49">
        <w:rPr>
          <w:lang w:val="en-IN"/>
        </w:rPr>
        <w:tab/>
        <w:t>R4-2513865, “On Uplink co-existence considerations for UAV”, RAN4#116bis, Ericsson</w:t>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6F226" w14:textId="77777777" w:rsidR="003B3DBC" w:rsidRDefault="003B3DBC">
      <w:r>
        <w:separator/>
      </w:r>
    </w:p>
  </w:endnote>
  <w:endnote w:type="continuationSeparator" w:id="0">
    <w:p w14:paraId="5A309BBA" w14:textId="77777777" w:rsidR="003B3DBC" w:rsidRDefault="003B3DBC">
      <w:r>
        <w:continuationSeparator/>
      </w:r>
    </w:p>
  </w:endnote>
  <w:endnote w:type="continuationNotice" w:id="1">
    <w:p w14:paraId="5E29DC78" w14:textId="77777777" w:rsidR="003B3DBC" w:rsidRDefault="003B3D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D7398" w14:textId="77777777" w:rsidR="003B3DBC" w:rsidRDefault="003B3DBC">
      <w:r>
        <w:separator/>
      </w:r>
    </w:p>
  </w:footnote>
  <w:footnote w:type="continuationSeparator" w:id="0">
    <w:p w14:paraId="5EE7B6DD" w14:textId="77777777" w:rsidR="003B3DBC" w:rsidRDefault="003B3DBC">
      <w:r>
        <w:continuationSeparator/>
      </w:r>
    </w:p>
  </w:footnote>
  <w:footnote w:type="continuationNotice" w:id="1">
    <w:p w14:paraId="30DFED42" w14:textId="77777777" w:rsidR="003B3DBC" w:rsidRDefault="003B3D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6"/>
  </w:num>
  <w:num w:numId="3" w16cid:durableId="306980384">
    <w:abstractNumId w:val="11"/>
  </w:num>
  <w:num w:numId="4" w16cid:durableId="1281106036">
    <w:abstractNumId w:val="12"/>
  </w:num>
  <w:num w:numId="5" w16cid:durableId="1163201158">
    <w:abstractNumId w:val="8"/>
  </w:num>
  <w:num w:numId="6" w16cid:durableId="1408923696">
    <w:abstractNumId w:val="15"/>
  </w:num>
  <w:num w:numId="7" w16cid:durableId="1179008256">
    <w:abstractNumId w:val="20"/>
  </w:num>
  <w:num w:numId="8" w16cid:durableId="1208487669">
    <w:abstractNumId w:val="9"/>
  </w:num>
  <w:num w:numId="9" w16cid:durableId="441193806">
    <w:abstractNumId w:val="7"/>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19"/>
  </w:num>
  <w:num w:numId="15" w16cid:durableId="1774671500">
    <w:abstractNumId w:val="14"/>
  </w:num>
  <w:num w:numId="16" w16cid:durableId="643198309">
    <w:abstractNumId w:val="21"/>
  </w:num>
  <w:num w:numId="17" w16cid:durableId="1123499674">
    <w:abstractNumId w:val="5"/>
  </w:num>
  <w:num w:numId="18" w16cid:durableId="1727336654">
    <w:abstractNumId w:val="6"/>
  </w:num>
  <w:num w:numId="19" w16cid:durableId="442459511">
    <w:abstractNumId w:val="4"/>
  </w:num>
  <w:num w:numId="20" w16cid:durableId="1759791952">
    <w:abstractNumId w:val="23"/>
  </w:num>
  <w:num w:numId="21" w16cid:durableId="127937149">
    <w:abstractNumId w:val="10"/>
  </w:num>
  <w:num w:numId="22" w16cid:durableId="1946840461">
    <w:abstractNumId w:val="22"/>
  </w:num>
  <w:num w:numId="23" w16cid:durableId="263880042">
    <w:abstractNumId w:val="13"/>
  </w:num>
  <w:num w:numId="24" w16cid:durableId="36818568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216"/>
    <w:rsid w:val="000119F7"/>
    <w:rsid w:val="00011B28"/>
    <w:rsid w:val="00015871"/>
    <w:rsid w:val="00015D15"/>
    <w:rsid w:val="0002564D"/>
    <w:rsid w:val="00025ECA"/>
    <w:rsid w:val="000325B8"/>
    <w:rsid w:val="00034C15"/>
    <w:rsid w:val="00035B03"/>
    <w:rsid w:val="00036BA1"/>
    <w:rsid w:val="00036DE3"/>
    <w:rsid w:val="000422E2"/>
    <w:rsid w:val="00042F22"/>
    <w:rsid w:val="00043A8F"/>
    <w:rsid w:val="000444EF"/>
    <w:rsid w:val="000479D5"/>
    <w:rsid w:val="00052770"/>
    <w:rsid w:val="00052A07"/>
    <w:rsid w:val="00052C40"/>
    <w:rsid w:val="000534E3"/>
    <w:rsid w:val="0005606A"/>
    <w:rsid w:val="00056F40"/>
    <w:rsid w:val="00057117"/>
    <w:rsid w:val="00060291"/>
    <w:rsid w:val="000616E7"/>
    <w:rsid w:val="0006487E"/>
    <w:rsid w:val="00065E1A"/>
    <w:rsid w:val="000676F4"/>
    <w:rsid w:val="00077E5F"/>
    <w:rsid w:val="0008036A"/>
    <w:rsid w:val="00081AE6"/>
    <w:rsid w:val="00081C97"/>
    <w:rsid w:val="00083E8C"/>
    <w:rsid w:val="000855EB"/>
    <w:rsid w:val="00085B52"/>
    <w:rsid w:val="000866F2"/>
    <w:rsid w:val="0009009F"/>
    <w:rsid w:val="00091557"/>
    <w:rsid w:val="000924C1"/>
    <w:rsid w:val="000924F0"/>
    <w:rsid w:val="00093474"/>
    <w:rsid w:val="0009510F"/>
    <w:rsid w:val="00095948"/>
    <w:rsid w:val="000A1B7B"/>
    <w:rsid w:val="000A56F2"/>
    <w:rsid w:val="000B2719"/>
    <w:rsid w:val="000B3A8F"/>
    <w:rsid w:val="000B4AB9"/>
    <w:rsid w:val="000B58C3"/>
    <w:rsid w:val="000B61E9"/>
    <w:rsid w:val="000C0FEB"/>
    <w:rsid w:val="000C165A"/>
    <w:rsid w:val="000C2E19"/>
    <w:rsid w:val="000D051B"/>
    <w:rsid w:val="000D0D07"/>
    <w:rsid w:val="000D2588"/>
    <w:rsid w:val="000D4797"/>
    <w:rsid w:val="000E0527"/>
    <w:rsid w:val="000E1E92"/>
    <w:rsid w:val="000F06D6"/>
    <w:rsid w:val="000F0EB1"/>
    <w:rsid w:val="000F1106"/>
    <w:rsid w:val="000F2072"/>
    <w:rsid w:val="000F3BE9"/>
    <w:rsid w:val="000F3F6C"/>
    <w:rsid w:val="000F6DF3"/>
    <w:rsid w:val="001005FF"/>
    <w:rsid w:val="001062FB"/>
    <w:rsid w:val="001063E6"/>
    <w:rsid w:val="00110685"/>
    <w:rsid w:val="00110692"/>
    <w:rsid w:val="00113CF4"/>
    <w:rsid w:val="00114112"/>
    <w:rsid w:val="001153EA"/>
    <w:rsid w:val="00115643"/>
    <w:rsid w:val="00116765"/>
    <w:rsid w:val="0012126D"/>
    <w:rsid w:val="001219F5"/>
    <w:rsid w:val="00121A20"/>
    <w:rsid w:val="0012377F"/>
    <w:rsid w:val="00123B98"/>
    <w:rsid w:val="00124314"/>
    <w:rsid w:val="001248BE"/>
    <w:rsid w:val="00126B4A"/>
    <w:rsid w:val="00132FD0"/>
    <w:rsid w:val="001344C0"/>
    <w:rsid w:val="001346FA"/>
    <w:rsid w:val="00135252"/>
    <w:rsid w:val="00135D49"/>
    <w:rsid w:val="00137AB5"/>
    <w:rsid w:val="00137F0B"/>
    <w:rsid w:val="00142AC0"/>
    <w:rsid w:val="00146B61"/>
    <w:rsid w:val="00151E23"/>
    <w:rsid w:val="001526E0"/>
    <w:rsid w:val="001551B5"/>
    <w:rsid w:val="001659C1"/>
    <w:rsid w:val="00173A8E"/>
    <w:rsid w:val="0017502C"/>
    <w:rsid w:val="00175303"/>
    <w:rsid w:val="0018143F"/>
    <w:rsid w:val="00181FF8"/>
    <w:rsid w:val="00184710"/>
    <w:rsid w:val="00190AC1"/>
    <w:rsid w:val="0019341A"/>
    <w:rsid w:val="0019512A"/>
    <w:rsid w:val="00197DF9"/>
    <w:rsid w:val="001A1987"/>
    <w:rsid w:val="001A2564"/>
    <w:rsid w:val="001A2D4B"/>
    <w:rsid w:val="001A6173"/>
    <w:rsid w:val="001A6CBA"/>
    <w:rsid w:val="001B0D97"/>
    <w:rsid w:val="001B5A5D"/>
    <w:rsid w:val="001C1CE5"/>
    <w:rsid w:val="001C3D2A"/>
    <w:rsid w:val="001D51BA"/>
    <w:rsid w:val="001D53E7"/>
    <w:rsid w:val="001D6342"/>
    <w:rsid w:val="001D6D53"/>
    <w:rsid w:val="001E2793"/>
    <w:rsid w:val="001E58E2"/>
    <w:rsid w:val="001E75A6"/>
    <w:rsid w:val="001E7AED"/>
    <w:rsid w:val="001F3916"/>
    <w:rsid w:val="001F54C5"/>
    <w:rsid w:val="001F662C"/>
    <w:rsid w:val="001F7074"/>
    <w:rsid w:val="00200490"/>
    <w:rsid w:val="00201F3A"/>
    <w:rsid w:val="00202BDF"/>
    <w:rsid w:val="00203F96"/>
    <w:rsid w:val="002069B2"/>
    <w:rsid w:val="00207FA3"/>
    <w:rsid w:val="0021079D"/>
    <w:rsid w:val="00214DA8"/>
    <w:rsid w:val="00215423"/>
    <w:rsid w:val="002158FA"/>
    <w:rsid w:val="00220600"/>
    <w:rsid w:val="00221150"/>
    <w:rsid w:val="002224DB"/>
    <w:rsid w:val="00223FCB"/>
    <w:rsid w:val="002252C3"/>
    <w:rsid w:val="00225C54"/>
    <w:rsid w:val="00226E34"/>
    <w:rsid w:val="0022784E"/>
    <w:rsid w:val="00230765"/>
    <w:rsid w:val="00230D18"/>
    <w:rsid w:val="002319E4"/>
    <w:rsid w:val="002343F3"/>
    <w:rsid w:val="0023523F"/>
    <w:rsid w:val="00235632"/>
    <w:rsid w:val="00235872"/>
    <w:rsid w:val="00241559"/>
    <w:rsid w:val="002435B3"/>
    <w:rsid w:val="002458EB"/>
    <w:rsid w:val="002500C8"/>
    <w:rsid w:val="0025220D"/>
    <w:rsid w:val="00254FC8"/>
    <w:rsid w:val="00255A97"/>
    <w:rsid w:val="00257543"/>
    <w:rsid w:val="002617E7"/>
    <w:rsid w:val="0026226A"/>
    <w:rsid w:val="00264228"/>
    <w:rsid w:val="00264334"/>
    <w:rsid w:val="0026473E"/>
    <w:rsid w:val="00266214"/>
    <w:rsid w:val="00267C83"/>
    <w:rsid w:val="0027144F"/>
    <w:rsid w:val="00271813"/>
    <w:rsid w:val="00271F3A"/>
    <w:rsid w:val="002721DE"/>
    <w:rsid w:val="00273278"/>
    <w:rsid w:val="002737F4"/>
    <w:rsid w:val="002803A4"/>
    <w:rsid w:val="002805F5"/>
    <w:rsid w:val="00280751"/>
    <w:rsid w:val="0028280A"/>
    <w:rsid w:val="00284D6A"/>
    <w:rsid w:val="00286946"/>
    <w:rsid w:val="00286ACD"/>
    <w:rsid w:val="00287838"/>
    <w:rsid w:val="002907B5"/>
    <w:rsid w:val="00292EB7"/>
    <w:rsid w:val="00293DEF"/>
    <w:rsid w:val="00296227"/>
    <w:rsid w:val="00296F44"/>
    <w:rsid w:val="0029777D"/>
    <w:rsid w:val="002A055E"/>
    <w:rsid w:val="002A1D4E"/>
    <w:rsid w:val="002A2869"/>
    <w:rsid w:val="002A578E"/>
    <w:rsid w:val="002B24D6"/>
    <w:rsid w:val="002C1F41"/>
    <w:rsid w:val="002C2CC1"/>
    <w:rsid w:val="002C41E6"/>
    <w:rsid w:val="002D071A"/>
    <w:rsid w:val="002D34B2"/>
    <w:rsid w:val="002D48B0"/>
    <w:rsid w:val="002D5B37"/>
    <w:rsid w:val="002D7637"/>
    <w:rsid w:val="002E083A"/>
    <w:rsid w:val="002E09B3"/>
    <w:rsid w:val="002E17F2"/>
    <w:rsid w:val="002E235B"/>
    <w:rsid w:val="002E506C"/>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626"/>
    <w:rsid w:val="00331751"/>
    <w:rsid w:val="00334579"/>
    <w:rsid w:val="003345A2"/>
    <w:rsid w:val="00335858"/>
    <w:rsid w:val="00336BDA"/>
    <w:rsid w:val="00340B9F"/>
    <w:rsid w:val="00342BD7"/>
    <w:rsid w:val="0034382D"/>
    <w:rsid w:val="00346DB5"/>
    <w:rsid w:val="003477B1"/>
    <w:rsid w:val="003477D5"/>
    <w:rsid w:val="00357380"/>
    <w:rsid w:val="003602D9"/>
    <w:rsid w:val="003604CE"/>
    <w:rsid w:val="00361EF8"/>
    <w:rsid w:val="00370E47"/>
    <w:rsid w:val="00371E15"/>
    <w:rsid w:val="00371EB4"/>
    <w:rsid w:val="003742AC"/>
    <w:rsid w:val="00374E24"/>
    <w:rsid w:val="00377CE1"/>
    <w:rsid w:val="00377D26"/>
    <w:rsid w:val="00384278"/>
    <w:rsid w:val="00385BF0"/>
    <w:rsid w:val="003939FF"/>
    <w:rsid w:val="00397782"/>
    <w:rsid w:val="003A2223"/>
    <w:rsid w:val="003A2A0F"/>
    <w:rsid w:val="003A45A1"/>
    <w:rsid w:val="003A5B0A"/>
    <w:rsid w:val="003A6BAC"/>
    <w:rsid w:val="003A70A4"/>
    <w:rsid w:val="003A7EF3"/>
    <w:rsid w:val="003B08E1"/>
    <w:rsid w:val="003B159C"/>
    <w:rsid w:val="003B30ED"/>
    <w:rsid w:val="003B369F"/>
    <w:rsid w:val="003B36A3"/>
    <w:rsid w:val="003B3DBC"/>
    <w:rsid w:val="003B64BB"/>
    <w:rsid w:val="003B7FE5"/>
    <w:rsid w:val="003C11C8"/>
    <w:rsid w:val="003C2702"/>
    <w:rsid w:val="003C7806"/>
    <w:rsid w:val="003D109F"/>
    <w:rsid w:val="003D2478"/>
    <w:rsid w:val="003D3C45"/>
    <w:rsid w:val="003D4231"/>
    <w:rsid w:val="003D5B1F"/>
    <w:rsid w:val="003E010E"/>
    <w:rsid w:val="003E15FA"/>
    <w:rsid w:val="003E55E4"/>
    <w:rsid w:val="003E74E3"/>
    <w:rsid w:val="003F05C7"/>
    <w:rsid w:val="003F2CD4"/>
    <w:rsid w:val="003F6BBE"/>
    <w:rsid w:val="004000E8"/>
    <w:rsid w:val="00401520"/>
    <w:rsid w:val="00402E2B"/>
    <w:rsid w:val="0040512B"/>
    <w:rsid w:val="00405CA5"/>
    <w:rsid w:val="00407CD3"/>
    <w:rsid w:val="00410134"/>
    <w:rsid w:val="0041049A"/>
    <w:rsid w:val="00410B72"/>
    <w:rsid w:val="00410F18"/>
    <w:rsid w:val="0041263E"/>
    <w:rsid w:val="00413AAC"/>
    <w:rsid w:val="00413E92"/>
    <w:rsid w:val="0042001A"/>
    <w:rsid w:val="00421105"/>
    <w:rsid w:val="00422AA4"/>
    <w:rsid w:val="004242F4"/>
    <w:rsid w:val="00427248"/>
    <w:rsid w:val="00427794"/>
    <w:rsid w:val="004317B0"/>
    <w:rsid w:val="00437447"/>
    <w:rsid w:val="00441A92"/>
    <w:rsid w:val="00441D1C"/>
    <w:rsid w:val="004431DC"/>
    <w:rsid w:val="00444F56"/>
    <w:rsid w:val="004463FC"/>
    <w:rsid w:val="00446488"/>
    <w:rsid w:val="00446F20"/>
    <w:rsid w:val="004517AA"/>
    <w:rsid w:val="0045211F"/>
    <w:rsid w:val="00452CAC"/>
    <w:rsid w:val="00457565"/>
    <w:rsid w:val="00457B71"/>
    <w:rsid w:val="004630F9"/>
    <w:rsid w:val="004632C6"/>
    <w:rsid w:val="00464689"/>
    <w:rsid w:val="004669E2"/>
    <w:rsid w:val="00466BD8"/>
    <w:rsid w:val="00470C31"/>
    <w:rsid w:val="0047116E"/>
    <w:rsid w:val="00471DE0"/>
    <w:rsid w:val="004734D0"/>
    <w:rsid w:val="00474C24"/>
    <w:rsid w:val="0047556B"/>
    <w:rsid w:val="00477768"/>
    <w:rsid w:val="004829B5"/>
    <w:rsid w:val="00491B9B"/>
    <w:rsid w:val="00492BC5"/>
    <w:rsid w:val="00495547"/>
    <w:rsid w:val="004964F1"/>
    <w:rsid w:val="004A16BC"/>
    <w:rsid w:val="004A2B94"/>
    <w:rsid w:val="004B5AE3"/>
    <w:rsid w:val="004B6F6A"/>
    <w:rsid w:val="004B7C0C"/>
    <w:rsid w:val="004C3898"/>
    <w:rsid w:val="004D36B1"/>
    <w:rsid w:val="004D3897"/>
    <w:rsid w:val="004D63F7"/>
    <w:rsid w:val="004D776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D58"/>
    <w:rsid w:val="005219CF"/>
    <w:rsid w:val="0053491E"/>
    <w:rsid w:val="00534B59"/>
    <w:rsid w:val="00534CA8"/>
    <w:rsid w:val="00536759"/>
    <w:rsid w:val="00537C62"/>
    <w:rsid w:val="00546970"/>
    <w:rsid w:val="00554E19"/>
    <w:rsid w:val="0056121F"/>
    <w:rsid w:val="0056440B"/>
    <w:rsid w:val="00566858"/>
    <w:rsid w:val="00572505"/>
    <w:rsid w:val="00577A7B"/>
    <w:rsid w:val="00582809"/>
    <w:rsid w:val="0058798C"/>
    <w:rsid w:val="005900FA"/>
    <w:rsid w:val="005928F3"/>
    <w:rsid w:val="005935A4"/>
    <w:rsid w:val="005948C2"/>
    <w:rsid w:val="00595DCA"/>
    <w:rsid w:val="0059604A"/>
    <w:rsid w:val="0059779B"/>
    <w:rsid w:val="005A1FF3"/>
    <w:rsid w:val="005A209A"/>
    <w:rsid w:val="005A662D"/>
    <w:rsid w:val="005B1409"/>
    <w:rsid w:val="005B35D7"/>
    <w:rsid w:val="005B392A"/>
    <w:rsid w:val="005B39BB"/>
    <w:rsid w:val="005B3AA3"/>
    <w:rsid w:val="005B6F83"/>
    <w:rsid w:val="005C74FB"/>
    <w:rsid w:val="005C7A0D"/>
    <w:rsid w:val="005D1602"/>
    <w:rsid w:val="005D5DB3"/>
    <w:rsid w:val="005E1CA6"/>
    <w:rsid w:val="005E385F"/>
    <w:rsid w:val="005E5B81"/>
    <w:rsid w:val="005F15FB"/>
    <w:rsid w:val="005F2CB1"/>
    <w:rsid w:val="005F3025"/>
    <w:rsid w:val="005F618C"/>
    <w:rsid w:val="005F70BD"/>
    <w:rsid w:val="0060177A"/>
    <w:rsid w:val="0060283C"/>
    <w:rsid w:val="00604F14"/>
    <w:rsid w:val="00611B83"/>
    <w:rsid w:val="00613257"/>
    <w:rsid w:val="00614B25"/>
    <w:rsid w:val="00620164"/>
    <w:rsid w:val="00620A71"/>
    <w:rsid w:val="00620D80"/>
    <w:rsid w:val="006234A6"/>
    <w:rsid w:val="006248B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71"/>
    <w:rsid w:val="006613A6"/>
    <w:rsid w:val="006627A2"/>
    <w:rsid w:val="006634E6"/>
    <w:rsid w:val="006655EE"/>
    <w:rsid w:val="00667EE7"/>
    <w:rsid w:val="00670922"/>
    <w:rsid w:val="00670BE1"/>
    <w:rsid w:val="0067218F"/>
    <w:rsid w:val="006741F2"/>
    <w:rsid w:val="00674CC3"/>
    <w:rsid w:val="00675C72"/>
    <w:rsid w:val="006771F9"/>
    <w:rsid w:val="006776D7"/>
    <w:rsid w:val="00677D6C"/>
    <w:rsid w:val="00681003"/>
    <w:rsid w:val="006817C9"/>
    <w:rsid w:val="00683ECE"/>
    <w:rsid w:val="00695FC2"/>
    <w:rsid w:val="00696949"/>
    <w:rsid w:val="00697052"/>
    <w:rsid w:val="006A46FB"/>
    <w:rsid w:val="006A5E28"/>
    <w:rsid w:val="006A697B"/>
    <w:rsid w:val="006A7AFF"/>
    <w:rsid w:val="006B1816"/>
    <w:rsid w:val="006B18EC"/>
    <w:rsid w:val="006B2099"/>
    <w:rsid w:val="006B50CF"/>
    <w:rsid w:val="006B638E"/>
    <w:rsid w:val="006C03B8"/>
    <w:rsid w:val="006C0944"/>
    <w:rsid w:val="006C5EC9"/>
    <w:rsid w:val="006C6059"/>
    <w:rsid w:val="006C7522"/>
    <w:rsid w:val="006D5B26"/>
    <w:rsid w:val="006D6F08"/>
    <w:rsid w:val="006E062C"/>
    <w:rsid w:val="006E0EB1"/>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1D18"/>
    <w:rsid w:val="0070346E"/>
    <w:rsid w:val="00704C6A"/>
    <w:rsid w:val="00704EDB"/>
    <w:rsid w:val="00706101"/>
    <w:rsid w:val="007065EA"/>
    <w:rsid w:val="00707072"/>
    <w:rsid w:val="0070784E"/>
    <w:rsid w:val="00707D61"/>
    <w:rsid w:val="00712287"/>
    <w:rsid w:val="00712772"/>
    <w:rsid w:val="0071443B"/>
    <w:rsid w:val="007148D3"/>
    <w:rsid w:val="00715B9A"/>
    <w:rsid w:val="00721B32"/>
    <w:rsid w:val="007240A2"/>
    <w:rsid w:val="007257D0"/>
    <w:rsid w:val="00726EA6"/>
    <w:rsid w:val="00727208"/>
    <w:rsid w:val="00727680"/>
    <w:rsid w:val="0073023A"/>
    <w:rsid w:val="007348B1"/>
    <w:rsid w:val="007362A6"/>
    <w:rsid w:val="00736D7D"/>
    <w:rsid w:val="00740E58"/>
    <w:rsid w:val="007445A0"/>
    <w:rsid w:val="0074524B"/>
    <w:rsid w:val="00747D8B"/>
    <w:rsid w:val="00751228"/>
    <w:rsid w:val="007571E1"/>
    <w:rsid w:val="007604B2"/>
    <w:rsid w:val="007610A4"/>
    <w:rsid w:val="00765281"/>
    <w:rsid w:val="00766BAD"/>
    <w:rsid w:val="00770571"/>
    <w:rsid w:val="007729A2"/>
    <w:rsid w:val="007747B3"/>
    <w:rsid w:val="007755F2"/>
    <w:rsid w:val="00776971"/>
    <w:rsid w:val="0077746B"/>
    <w:rsid w:val="00780A80"/>
    <w:rsid w:val="0078177E"/>
    <w:rsid w:val="0078304C"/>
    <w:rsid w:val="00783673"/>
    <w:rsid w:val="00785490"/>
    <w:rsid w:val="007925EA"/>
    <w:rsid w:val="00793741"/>
    <w:rsid w:val="00793CD8"/>
    <w:rsid w:val="00794552"/>
    <w:rsid w:val="007950FF"/>
    <w:rsid w:val="00795C92"/>
    <w:rsid w:val="00795FB4"/>
    <w:rsid w:val="00796231"/>
    <w:rsid w:val="00797173"/>
    <w:rsid w:val="007A0476"/>
    <w:rsid w:val="007A1CB3"/>
    <w:rsid w:val="007A306F"/>
    <w:rsid w:val="007A43A6"/>
    <w:rsid w:val="007A44B6"/>
    <w:rsid w:val="007A58A6"/>
    <w:rsid w:val="007A5B4A"/>
    <w:rsid w:val="007A69B7"/>
    <w:rsid w:val="007A6CE2"/>
    <w:rsid w:val="007B23C8"/>
    <w:rsid w:val="007B3D2D"/>
    <w:rsid w:val="007B50AE"/>
    <w:rsid w:val="007B51DF"/>
    <w:rsid w:val="007B76D4"/>
    <w:rsid w:val="007C05DD"/>
    <w:rsid w:val="007C3D18"/>
    <w:rsid w:val="007C60BF"/>
    <w:rsid w:val="007C6776"/>
    <w:rsid w:val="007C6A07"/>
    <w:rsid w:val="007C75A1"/>
    <w:rsid w:val="007C77A5"/>
    <w:rsid w:val="007D04E5"/>
    <w:rsid w:val="007D3548"/>
    <w:rsid w:val="007D4828"/>
    <w:rsid w:val="007D4881"/>
    <w:rsid w:val="007D5709"/>
    <w:rsid w:val="007D5901"/>
    <w:rsid w:val="007D7526"/>
    <w:rsid w:val="007E4610"/>
    <w:rsid w:val="007E4715"/>
    <w:rsid w:val="007E505B"/>
    <w:rsid w:val="007E7091"/>
    <w:rsid w:val="007F1C69"/>
    <w:rsid w:val="007F508B"/>
    <w:rsid w:val="007F6D5D"/>
    <w:rsid w:val="00803FAE"/>
    <w:rsid w:val="0080605F"/>
    <w:rsid w:val="00807786"/>
    <w:rsid w:val="00811FCB"/>
    <w:rsid w:val="008158D6"/>
    <w:rsid w:val="008164BB"/>
    <w:rsid w:val="00817196"/>
    <w:rsid w:val="00821039"/>
    <w:rsid w:val="008235DB"/>
    <w:rsid w:val="00824AB4"/>
    <w:rsid w:val="00824F1B"/>
    <w:rsid w:val="00825C42"/>
    <w:rsid w:val="00825D25"/>
    <w:rsid w:val="00827D6F"/>
    <w:rsid w:val="008376AC"/>
    <w:rsid w:val="00837E82"/>
    <w:rsid w:val="00841994"/>
    <w:rsid w:val="008444E8"/>
    <w:rsid w:val="00844E80"/>
    <w:rsid w:val="00846FE7"/>
    <w:rsid w:val="00856911"/>
    <w:rsid w:val="00857A16"/>
    <w:rsid w:val="00860873"/>
    <w:rsid w:val="008677FD"/>
    <w:rsid w:val="008706D4"/>
    <w:rsid w:val="00870F8A"/>
    <w:rsid w:val="008719A4"/>
    <w:rsid w:val="00871D23"/>
    <w:rsid w:val="00874312"/>
    <w:rsid w:val="0087437C"/>
    <w:rsid w:val="00875CD7"/>
    <w:rsid w:val="00876B4D"/>
    <w:rsid w:val="008771BC"/>
    <w:rsid w:val="00877F18"/>
    <w:rsid w:val="00885B31"/>
    <w:rsid w:val="008941E3"/>
    <w:rsid w:val="00894A88"/>
    <w:rsid w:val="00895386"/>
    <w:rsid w:val="00895ED0"/>
    <w:rsid w:val="00896E72"/>
    <w:rsid w:val="008A21FF"/>
    <w:rsid w:val="008A2CE2"/>
    <w:rsid w:val="008A30AC"/>
    <w:rsid w:val="008A3965"/>
    <w:rsid w:val="008A44B8"/>
    <w:rsid w:val="008A51A8"/>
    <w:rsid w:val="008A5458"/>
    <w:rsid w:val="008A54C7"/>
    <w:rsid w:val="008A6E58"/>
    <w:rsid w:val="008A77D8"/>
    <w:rsid w:val="008B0483"/>
    <w:rsid w:val="008B0B42"/>
    <w:rsid w:val="008B120C"/>
    <w:rsid w:val="008B28AF"/>
    <w:rsid w:val="008B51A0"/>
    <w:rsid w:val="008B592A"/>
    <w:rsid w:val="008B7B5C"/>
    <w:rsid w:val="008C0C99"/>
    <w:rsid w:val="008C2017"/>
    <w:rsid w:val="008C4958"/>
    <w:rsid w:val="008C4BAA"/>
    <w:rsid w:val="008C6AE8"/>
    <w:rsid w:val="008C7573"/>
    <w:rsid w:val="008D00A5"/>
    <w:rsid w:val="008D0570"/>
    <w:rsid w:val="008D1A5B"/>
    <w:rsid w:val="008D2A1A"/>
    <w:rsid w:val="008D34F1"/>
    <w:rsid w:val="008D39D8"/>
    <w:rsid w:val="008D6D1A"/>
    <w:rsid w:val="008E065E"/>
    <w:rsid w:val="008E0927"/>
    <w:rsid w:val="008E1909"/>
    <w:rsid w:val="008E5E2F"/>
    <w:rsid w:val="008F1C4E"/>
    <w:rsid w:val="008F1EAB"/>
    <w:rsid w:val="008F33DC"/>
    <w:rsid w:val="008F477F"/>
    <w:rsid w:val="00902350"/>
    <w:rsid w:val="0090336B"/>
    <w:rsid w:val="00904E79"/>
    <w:rsid w:val="009053AA"/>
    <w:rsid w:val="00906939"/>
    <w:rsid w:val="0091024D"/>
    <w:rsid w:val="00910B7D"/>
    <w:rsid w:val="00911DFB"/>
    <w:rsid w:val="00913018"/>
    <w:rsid w:val="0091346A"/>
    <w:rsid w:val="009139D9"/>
    <w:rsid w:val="009144F8"/>
    <w:rsid w:val="00914AD8"/>
    <w:rsid w:val="00916079"/>
    <w:rsid w:val="00917CE9"/>
    <w:rsid w:val="0092075B"/>
    <w:rsid w:val="00920BF2"/>
    <w:rsid w:val="00922010"/>
    <w:rsid w:val="00926426"/>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50F"/>
    <w:rsid w:val="00990630"/>
    <w:rsid w:val="00991761"/>
    <w:rsid w:val="00992750"/>
    <w:rsid w:val="00994DCA"/>
    <w:rsid w:val="009960EC"/>
    <w:rsid w:val="009963B3"/>
    <w:rsid w:val="00996490"/>
    <w:rsid w:val="009970DD"/>
    <w:rsid w:val="009A0FBA"/>
    <w:rsid w:val="009A124D"/>
    <w:rsid w:val="009A1601"/>
    <w:rsid w:val="009A3BB6"/>
    <w:rsid w:val="009A462D"/>
    <w:rsid w:val="009A5CBA"/>
    <w:rsid w:val="009B1F30"/>
    <w:rsid w:val="009B3AC2"/>
    <w:rsid w:val="009B4DF4"/>
    <w:rsid w:val="009B564E"/>
    <w:rsid w:val="009B7E87"/>
    <w:rsid w:val="009C0169"/>
    <w:rsid w:val="009C2550"/>
    <w:rsid w:val="009C403E"/>
    <w:rsid w:val="009D4BB7"/>
    <w:rsid w:val="009D4FF0"/>
    <w:rsid w:val="009D703C"/>
    <w:rsid w:val="009D718F"/>
    <w:rsid w:val="009E068F"/>
    <w:rsid w:val="009E14E0"/>
    <w:rsid w:val="009E2410"/>
    <w:rsid w:val="009E35DB"/>
    <w:rsid w:val="009E47A3"/>
    <w:rsid w:val="009E6A20"/>
    <w:rsid w:val="009F08F3"/>
    <w:rsid w:val="009F0C44"/>
    <w:rsid w:val="009F344F"/>
    <w:rsid w:val="009F51D6"/>
    <w:rsid w:val="00A031D8"/>
    <w:rsid w:val="00A048A8"/>
    <w:rsid w:val="00A04F49"/>
    <w:rsid w:val="00A13E54"/>
    <w:rsid w:val="00A17EB3"/>
    <w:rsid w:val="00A17F63"/>
    <w:rsid w:val="00A2193B"/>
    <w:rsid w:val="00A23038"/>
    <w:rsid w:val="00A2351A"/>
    <w:rsid w:val="00A23A3D"/>
    <w:rsid w:val="00A26121"/>
    <w:rsid w:val="00A264A9"/>
    <w:rsid w:val="00A26DCF"/>
    <w:rsid w:val="00A27785"/>
    <w:rsid w:val="00A30187"/>
    <w:rsid w:val="00A3448A"/>
    <w:rsid w:val="00A35236"/>
    <w:rsid w:val="00A3584B"/>
    <w:rsid w:val="00A36297"/>
    <w:rsid w:val="00A418AB"/>
    <w:rsid w:val="00A41E2B"/>
    <w:rsid w:val="00A45B74"/>
    <w:rsid w:val="00A51BC9"/>
    <w:rsid w:val="00A52E1D"/>
    <w:rsid w:val="00A5446F"/>
    <w:rsid w:val="00A57FC0"/>
    <w:rsid w:val="00A61499"/>
    <w:rsid w:val="00A62A77"/>
    <w:rsid w:val="00A63483"/>
    <w:rsid w:val="00A657D7"/>
    <w:rsid w:val="00A660AC"/>
    <w:rsid w:val="00A67E6C"/>
    <w:rsid w:val="00A71B99"/>
    <w:rsid w:val="00A739D0"/>
    <w:rsid w:val="00A761D4"/>
    <w:rsid w:val="00A77EC4"/>
    <w:rsid w:val="00A92879"/>
    <w:rsid w:val="00A94030"/>
    <w:rsid w:val="00A9442A"/>
    <w:rsid w:val="00AA016F"/>
    <w:rsid w:val="00AA148D"/>
    <w:rsid w:val="00AA1B26"/>
    <w:rsid w:val="00AA1ED6"/>
    <w:rsid w:val="00AA45A5"/>
    <w:rsid w:val="00AA51D6"/>
    <w:rsid w:val="00AB009C"/>
    <w:rsid w:val="00AB0BC8"/>
    <w:rsid w:val="00AB11CA"/>
    <w:rsid w:val="00AB14D9"/>
    <w:rsid w:val="00AB4AB8"/>
    <w:rsid w:val="00AB4B1A"/>
    <w:rsid w:val="00AB655E"/>
    <w:rsid w:val="00AC007F"/>
    <w:rsid w:val="00AC2ECD"/>
    <w:rsid w:val="00AC3119"/>
    <w:rsid w:val="00AC49FB"/>
    <w:rsid w:val="00AC5A10"/>
    <w:rsid w:val="00AC688B"/>
    <w:rsid w:val="00AC76F7"/>
    <w:rsid w:val="00AD0AA3"/>
    <w:rsid w:val="00AD2ED0"/>
    <w:rsid w:val="00AD3E27"/>
    <w:rsid w:val="00AD3F94"/>
    <w:rsid w:val="00AD4A5A"/>
    <w:rsid w:val="00AE27AC"/>
    <w:rsid w:val="00AE40E0"/>
    <w:rsid w:val="00AE4DBA"/>
    <w:rsid w:val="00AE4F07"/>
    <w:rsid w:val="00AF03D6"/>
    <w:rsid w:val="00AF1C5D"/>
    <w:rsid w:val="00AF42D7"/>
    <w:rsid w:val="00AF6A85"/>
    <w:rsid w:val="00AF7249"/>
    <w:rsid w:val="00AF7E08"/>
    <w:rsid w:val="00B006FE"/>
    <w:rsid w:val="00B007CB"/>
    <w:rsid w:val="00B02AA9"/>
    <w:rsid w:val="00B02FA3"/>
    <w:rsid w:val="00B05084"/>
    <w:rsid w:val="00B13889"/>
    <w:rsid w:val="00B156B9"/>
    <w:rsid w:val="00B157F9"/>
    <w:rsid w:val="00B20256"/>
    <w:rsid w:val="00B20D09"/>
    <w:rsid w:val="00B255F1"/>
    <w:rsid w:val="00B25858"/>
    <w:rsid w:val="00B2757F"/>
    <w:rsid w:val="00B2763F"/>
    <w:rsid w:val="00B27AAC"/>
    <w:rsid w:val="00B30929"/>
    <w:rsid w:val="00B312B7"/>
    <w:rsid w:val="00B363F4"/>
    <w:rsid w:val="00B372AA"/>
    <w:rsid w:val="00B40445"/>
    <w:rsid w:val="00B409E0"/>
    <w:rsid w:val="00B41888"/>
    <w:rsid w:val="00B45A52"/>
    <w:rsid w:val="00B46175"/>
    <w:rsid w:val="00B548B7"/>
    <w:rsid w:val="00B55403"/>
    <w:rsid w:val="00B56C52"/>
    <w:rsid w:val="00B60BFB"/>
    <w:rsid w:val="00B648D6"/>
    <w:rsid w:val="00B664C7"/>
    <w:rsid w:val="00B701CE"/>
    <w:rsid w:val="00B713D8"/>
    <w:rsid w:val="00B739F6"/>
    <w:rsid w:val="00B81A6C"/>
    <w:rsid w:val="00B85DE5"/>
    <w:rsid w:val="00B90F73"/>
    <w:rsid w:val="00B93B59"/>
    <w:rsid w:val="00B9406A"/>
    <w:rsid w:val="00BA2280"/>
    <w:rsid w:val="00BA2A08"/>
    <w:rsid w:val="00BA56D2"/>
    <w:rsid w:val="00BA5A0F"/>
    <w:rsid w:val="00BA76E0"/>
    <w:rsid w:val="00BB0CA4"/>
    <w:rsid w:val="00BB2A25"/>
    <w:rsid w:val="00BB51E9"/>
    <w:rsid w:val="00BB5D7D"/>
    <w:rsid w:val="00BC0FDC"/>
    <w:rsid w:val="00BC3053"/>
    <w:rsid w:val="00BC4D2E"/>
    <w:rsid w:val="00BD01EF"/>
    <w:rsid w:val="00BD48AC"/>
    <w:rsid w:val="00BD5F1A"/>
    <w:rsid w:val="00BE1234"/>
    <w:rsid w:val="00BE2FA6"/>
    <w:rsid w:val="00BE333F"/>
    <w:rsid w:val="00BE39FA"/>
    <w:rsid w:val="00BE7406"/>
    <w:rsid w:val="00BE7603"/>
    <w:rsid w:val="00BF3279"/>
    <w:rsid w:val="00BF74C7"/>
    <w:rsid w:val="00C015F1"/>
    <w:rsid w:val="00C01F33"/>
    <w:rsid w:val="00C025C5"/>
    <w:rsid w:val="00C02CC6"/>
    <w:rsid w:val="00C040F7"/>
    <w:rsid w:val="00C044AB"/>
    <w:rsid w:val="00C05706"/>
    <w:rsid w:val="00C07377"/>
    <w:rsid w:val="00C10478"/>
    <w:rsid w:val="00C12107"/>
    <w:rsid w:val="00C14D4B"/>
    <w:rsid w:val="00C154BB"/>
    <w:rsid w:val="00C16D3A"/>
    <w:rsid w:val="00C205F4"/>
    <w:rsid w:val="00C279B5"/>
    <w:rsid w:val="00C27C45"/>
    <w:rsid w:val="00C30FF8"/>
    <w:rsid w:val="00C33002"/>
    <w:rsid w:val="00C3719D"/>
    <w:rsid w:val="00C374A5"/>
    <w:rsid w:val="00C37CB2"/>
    <w:rsid w:val="00C47313"/>
    <w:rsid w:val="00C473A5"/>
    <w:rsid w:val="00C50989"/>
    <w:rsid w:val="00C5438F"/>
    <w:rsid w:val="00C54995"/>
    <w:rsid w:val="00C54D41"/>
    <w:rsid w:val="00C60783"/>
    <w:rsid w:val="00C64672"/>
    <w:rsid w:val="00C70697"/>
    <w:rsid w:val="00C71F54"/>
    <w:rsid w:val="00C72093"/>
    <w:rsid w:val="00C72EF4"/>
    <w:rsid w:val="00C744FE"/>
    <w:rsid w:val="00C75D2F"/>
    <w:rsid w:val="00C767BE"/>
    <w:rsid w:val="00C76E3C"/>
    <w:rsid w:val="00C81568"/>
    <w:rsid w:val="00C8482D"/>
    <w:rsid w:val="00C9027A"/>
    <w:rsid w:val="00C9068E"/>
    <w:rsid w:val="00C93814"/>
    <w:rsid w:val="00C93C4B"/>
    <w:rsid w:val="00C944AB"/>
    <w:rsid w:val="00C94C4D"/>
    <w:rsid w:val="00C94CF8"/>
    <w:rsid w:val="00C95B40"/>
    <w:rsid w:val="00C962C5"/>
    <w:rsid w:val="00CA0BAE"/>
    <w:rsid w:val="00CA1ED8"/>
    <w:rsid w:val="00CB1185"/>
    <w:rsid w:val="00CB133A"/>
    <w:rsid w:val="00CB1F63"/>
    <w:rsid w:val="00CB5886"/>
    <w:rsid w:val="00CB7170"/>
    <w:rsid w:val="00CC040E"/>
    <w:rsid w:val="00CC111F"/>
    <w:rsid w:val="00CC2011"/>
    <w:rsid w:val="00CC3EA0"/>
    <w:rsid w:val="00CC520D"/>
    <w:rsid w:val="00CC7B45"/>
    <w:rsid w:val="00CD1188"/>
    <w:rsid w:val="00CD2ED1"/>
    <w:rsid w:val="00CD3022"/>
    <w:rsid w:val="00CD337B"/>
    <w:rsid w:val="00CE0424"/>
    <w:rsid w:val="00CE1114"/>
    <w:rsid w:val="00CE7561"/>
    <w:rsid w:val="00CF1354"/>
    <w:rsid w:val="00CF3B1F"/>
    <w:rsid w:val="00CF3BF6"/>
    <w:rsid w:val="00CF5075"/>
    <w:rsid w:val="00CF625B"/>
    <w:rsid w:val="00CF687E"/>
    <w:rsid w:val="00D0349B"/>
    <w:rsid w:val="00D10249"/>
    <w:rsid w:val="00D115C3"/>
    <w:rsid w:val="00D11897"/>
    <w:rsid w:val="00D13135"/>
    <w:rsid w:val="00D13E4E"/>
    <w:rsid w:val="00D141FB"/>
    <w:rsid w:val="00D239A7"/>
    <w:rsid w:val="00D23F47"/>
    <w:rsid w:val="00D25322"/>
    <w:rsid w:val="00D36E71"/>
    <w:rsid w:val="00D37D87"/>
    <w:rsid w:val="00D40B33"/>
    <w:rsid w:val="00D4318F"/>
    <w:rsid w:val="00D438BF"/>
    <w:rsid w:val="00D440F8"/>
    <w:rsid w:val="00D459F5"/>
    <w:rsid w:val="00D546FF"/>
    <w:rsid w:val="00D55AD5"/>
    <w:rsid w:val="00D576CA"/>
    <w:rsid w:val="00D61AF5"/>
    <w:rsid w:val="00D64125"/>
    <w:rsid w:val="00D652B5"/>
    <w:rsid w:val="00D66155"/>
    <w:rsid w:val="00D708B0"/>
    <w:rsid w:val="00D77B1D"/>
    <w:rsid w:val="00D8021F"/>
    <w:rsid w:val="00D80383"/>
    <w:rsid w:val="00D823C6"/>
    <w:rsid w:val="00D8327F"/>
    <w:rsid w:val="00D86CA3"/>
    <w:rsid w:val="00D871CE"/>
    <w:rsid w:val="00D9196D"/>
    <w:rsid w:val="00D92564"/>
    <w:rsid w:val="00D92982"/>
    <w:rsid w:val="00D96008"/>
    <w:rsid w:val="00DA0218"/>
    <w:rsid w:val="00DA305E"/>
    <w:rsid w:val="00DA5417"/>
    <w:rsid w:val="00DA56E8"/>
    <w:rsid w:val="00DA6030"/>
    <w:rsid w:val="00DB0A9F"/>
    <w:rsid w:val="00DB377D"/>
    <w:rsid w:val="00DC2D36"/>
    <w:rsid w:val="00DC53EF"/>
    <w:rsid w:val="00DD5981"/>
    <w:rsid w:val="00DE1A5C"/>
    <w:rsid w:val="00DE23F3"/>
    <w:rsid w:val="00DE5608"/>
    <w:rsid w:val="00DE58D0"/>
    <w:rsid w:val="00DE654F"/>
    <w:rsid w:val="00DF0B6E"/>
    <w:rsid w:val="00DF15E0"/>
    <w:rsid w:val="00DF37A0"/>
    <w:rsid w:val="00E110E7"/>
    <w:rsid w:val="00E11B20"/>
    <w:rsid w:val="00E142AF"/>
    <w:rsid w:val="00E17FA2"/>
    <w:rsid w:val="00E20D71"/>
    <w:rsid w:val="00E21A14"/>
    <w:rsid w:val="00E22330"/>
    <w:rsid w:val="00E253BC"/>
    <w:rsid w:val="00E30B5A"/>
    <w:rsid w:val="00E3123D"/>
    <w:rsid w:val="00E31461"/>
    <w:rsid w:val="00E31D43"/>
    <w:rsid w:val="00E32608"/>
    <w:rsid w:val="00E34188"/>
    <w:rsid w:val="00E34B6E"/>
    <w:rsid w:val="00E35559"/>
    <w:rsid w:val="00E3723A"/>
    <w:rsid w:val="00E37860"/>
    <w:rsid w:val="00E432AA"/>
    <w:rsid w:val="00E446F1"/>
    <w:rsid w:val="00E46886"/>
    <w:rsid w:val="00E47AEF"/>
    <w:rsid w:val="00E50F07"/>
    <w:rsid w:val="00E52154"/>
    <w:rsid w:val="00E53B75"/>
    <w:rsid w:val="00E54E3B"/>
    <w:rsid w:val="00E57565"/>
    <w:rsid w:val="00E63838"/>
    <w:rsid w:val="00E64434"/>
    <w:rsid w:val="00E64F16"/>
    <w:rsid w:val="00E67C51"/>
    <w:rsid w:val="00E72B9D"/>
    <w:rsid w:val="00E72EFC"/>
    <w:rsid w:val="00E75684"/>
    <w:rsid w:val="00E758EC"/>
    <w:rsid w:val="00E80CBB"/>
    <w:rsid w:val="00E8234C"/>
    <w:rsid w:val="00E83AA9"/>
    <w:rsid w:val="00E85928"/>
    <w:rsid w:val="00E86EB9"/>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1B0"/>
    <w:rsid w:val="00ED714B"/>
    <w:rsid w:val="00EE12DC"/>
    <w:rsid w:val="00EF18FE"/>
    <w:rsid w:val="00EF5787"/>
    <w:rsid w:val="00EF60D0"/>
    <w:rsid w:val="00F0528D"/>
    <w:rsid w:val="00F06C67"/>
    <w:rsid w:val="00F06DFD"/>
    <w:rsid w:val="00F071D1"/>
    <w:rsid w:val="00F07533"/>
    <w:rsid w:val="00F10629"/>
    <w:rsid w:val="00F11086"/>
    <w:rsid w:val="00F130A0"/>
    <w:rsid w:val="00F14C8A"/>
    <w:rsid w:val="00F15FA5"/>
    <w:rsid w:val="00F165ED"/>
    <w:rsid w:val="00F177F2"/>
    <w:rsid w:val="00F209B7"/>
    <w:rsid w:val="00F22FB6"/>
    <w:rsid w:val="00F2376F"/>
    <w:rsid w:val="00F243D8"/>
    <w:rsid w:val="00F30828"/>
    <w:rsid w:val="00F313D6"/>
    <w:rsid w:val="00F40F0C"/>
    <w:rsid w:val="00F4766C"/>
    <w:rsid w:val="00F5060E"/>
    <w:rsid w:val="00F507D1"/>
    <w:rsid w:val="00F50C37"/>
    <w:rsid w:val="00F519CE"/>
    <w:rsid w:val="00F51ADA"/>
    <w:rsid w:val="00F60203"/>
    <w:rsid w:val="00F607C5"/>
    <w:rsid w:val="00F60A1A"/>
    <w:rsid w:val="00F60DEA"/>
    <w:rsid w:val="00F6302A"/>
    <w:rsid w:val="00F63950"/>
    <w:rsid w:val="00F64C2B"/>
    <w:rsid w:val="00F651BE"/>
    <w:rsid w:val="00F67F53"/>
    <w:rsid w:val="00F703BE"/>
    <w:rsid w:val="00F71F69"/>
    <w:rsid w:val="00F72B72"/>
    <w:rsid w:val="00F73E3C"/>
    <w:rsid w:val="00F74BB9"/>
    <w:rsid w:val="00F75582"/>
    <w:rsid w:val="00F76EFA"/>
    <w:rsid w:val="00F804BE"/>
    <w:rsid w:val="00F817CE"/>
    <w:rsid w:val="00F8236F"/>
    <w:rsid w:val="00F8456C"/>
    <w:rsid w:val="00F859D8"/>
    <w:rsid w:val="00F868F5"/>
    <w:rsid w:val="00F9056A"/>
    <w:rsid w:val="00F90F8D"/>
    <w:rsid w:val="00F92782"/>
    <w:rsid w:val="00F93AA9"/>
    <w:rsid w:val="00F96985"/>
    <w:rsid w:val="00F97838"/>
    <w:rsid w:val="00FA2BB3"/>
    <w:rsid w:val="00FA7482"/>
    <w:rsid w:val="00FB0D2D"/>
    <w:rsid w:val="00FB4C80"/>
    <w:rsid w:val="00FB6A6A"/>
    <w:rsid w:val="00FC7429"/>
    <w:rsid w:val="00FD07F6"/>
    <w:rsid w:val="00FD1EC8"/>
    <w:rsid w:val="00FD47ED"/>
    <w:rsid w:val="00FD549D"/>
    <w:rsid w:val="00FD74DB"/>
    <w:rsid w:val="00FD7660"/>
    <w:rsid w:val="00FE0655"/>
    <w:rsid w:val="00FE17C9"/>
    <w:rsid w:val="00FE2365"/>
    <w:rsid w:val="00FE37D7"/>
    <w:rsid w:val="00FE4C7B"/>
    <w:rsid w:val="00FE7336"/>
    <w:rsid w:val="00FE787C"/>
    <w:rsid w:val="00FF3D2F"/>
    <w:rsid w:val="00FF45A5"/>
    <w:rsid w:val="00FF5C91"/>
    <w:rsid w:val="0A0D716F"/>
    <w:rsid w:val="0E82746D"/>
    <w:rsid w:val="11B23180"/>
    <w:rsid w:val="1925247A"/>
    <w:rsid w:val="1B743879"/>
    <w:rsid w:val="2770C682"/>
    <w:rsid w:val="29903AB7"/>
    <w:rsid w:val="2BFD5916"/>
    <w:rsid w:val="31FF6880"/>
    <w:rsid w:val="37168393"/>
    <w:rsid w:val="3B685515"/>
    <w:rsid w:val="3CF288F3"/>
    <w:rsid w:val="3ECEDD5C"/>
    <w:rsid w:val="424A371C"/>
    <w:rsid w:val="5016B34C"/>
    <w:rsid w:val="59F81153"/>
    <w:rsid w:val="5CF45CDD"/>
    <w:rsid w:val="5CF85FB0"/>
    <w:rsid w:val="5D1D7FDF"/>
    <w:rsid w:val="5E72950B"/>
    <w:rsid w:val="605FE2F4"/>
    <w:rsid w:val="61DF9AF3"/>
    <w:rsid w:val="64B99DAE"/>
    <w:rsid w:val="7084843D"/>
    <w:rsid w:val="731C35B5"/>
    <w:rsid w:val="7725FE99"/>
    <w:rsid w:val="7797009F"/>
    <w:rsid w:val="7E6810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3B32578-A385-4EFB-92D6-AB6D64E5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130604">
      <w:bodyDiv w:val="1"/>
      <w:marLeft w:val="0"/>
      <w:marRight w:val="0"/>
      <w:marTop w:val="0"/>
      <w:marBottom w:val="0"/>
      <w:divBdr>
        <w:top w:val="none" w:sz="0" w:space="0" w:color="auto"/>
        <w:left w:val="none" w:sz="0" w:space="0" w:color="auto"/>
        <w:bottom w:val="none" w:sz="0" w:space="0" w:color="auto"/>
        <w:right w:val="none" w:sz="0" w:space="0" w:color="auto"/>
      </w:divBdr>
    </w:div>
    <w:div w:id="17102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D76D47-DB85-4F42-B602-AF96D705B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5</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162</cp:revision>
  <cp:lastPrinted>2008-02-02T04:09:00Z</cp:lastPrinted>
  <dcterms:created xsi:type="dcterms:W3CDTF">2020-08-15T18:21:00Z</dcterms:created>
  <dcterms:modified xsi:type="dcterms:W3CDTF">2025-10-03T20:39:00Z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ies>
</file>